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E587B" w14:textId="130D7A23" w:rsidR="007446BB" w:rsidRDefault="00457E71" w:rsidP="007446BB">
      <w:pPr>
        <w:autoSpaceDE/>
        <w:autoSpaceDN/>
        <w:adjustRightInd/>
        <w:spacing w:after="0"/>
      </w:pPr>
      <w:r>
        <w:t xml:space="preserve"> </w:t>
      </w:r>
      <w:bookmarkStart w:id="0" w:name="_GoBack"/>
      <w:bookmarkEnd w:id="0"/>
    </w:p>
    <w:p w14:paraId="4AD52E3D" w14:textId="77777777" w:rsidR="007446BB" w:rsidRDefault="007446BB" w:rsidP="007446BB">
      <w:pPr>
        <w:autoSpaceDE/>
        <w:autoSpaceDN/>
        <w:adjustRightInd/>
        <w:spacing w:after="0"/>
        <w:sectPr w:rsidR="007446BB" w:rsidSect="007446BB">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14:anchorId="1161AC01" wp14:editId="6B10601A">
                <wp:simplePos x="0" y="0"/>
                <wp:positionH relativeFrom="column">
                  <wp:posOffset>-494665</wp:posOffset>
                </wp:positionH>
                <wp:positionV relativeFrom="paragraph">
                  <wp:posOffset>5768975</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DADB7" w14:textId="77777777" w:rsidR="00E118FC" w:rsidRDefault="00E118FC" w:rsidP="007446BB">
                            <w:pPr>
                              <w:spacing w:after="0"/>
                              <w:ind w:right="-46"/>
                              <w:jc w:val="left"/>
                              <w:rPr>
                                <w:rFonts w:cs="Arial"/>
                                <w:b/>
                                <w:bCs/>
                                <w:sz w:val="52"/>
                                <w:szCs w:val="52"/>
                              </w:rPr>
                            </w:pPr>
                          </w:p>
                          <w:p w14:paraId="5A0E36B2" w14:textId="77777777" w:rsidR="00E118FC" w:rsidRPr="0037393E" w:rsidRDefault="00E118FC" w:rsidP="007446BB">
                            <w:pPr>
                              <w:spacing w:after="0"/>
                              <w:ind w:right="-46"/>
                              <w:jc w:val="left"/>
                              <w:rPr>
                                <w:rFonts w:cs="Arial"/>
                                <w:b/>
                                <w:bCs/>
                                <w:sz w:val="52"/>
                                <w:szCs w:val="52"/>
                              </w:rPr>
                            </w:pPr>
                          </w:p>
                          <w:p w14:paraId="6E55361C" w14:textId="77777777" w:rsidR="00E118FC" w:rsidRDefault="00E118FC" w:rsidP="007446BB">
                            <w:pPr>
                              <w:spacing w:after="0"/>
                              <w:ind w:right="-46"/>
                              <w:jc w:val="left"/>
                              <w:rPr>
                                <w:rFonts w:cs="Arial"/>
                                <w:b/>
                                <w:bCs/>
                                <w:sz w:val="52"/>
                                <w:szCs w:val="52"/>
                              </w:rPr>
                            </w:pPr>
                            <w:r>
                              <w:rPr>
                                <w:rFonts w:cs="Arial"/>
                                <w:b/>
                                <w:bCs/>
                                <w:sz w:val="52"/>
                                <w:szCs w:val="52"/>
                              </w:rPr>
                              <w:t>Money Matters</w:t>
                            </w:r>
                          </w:p>
                          <w:p w14:paraId="5609BC24" w14:textId="101FF60E" w:rsidR="00E118FC" w:rsidRDefault="00E118FC" w:rsidP="007446BB">
                            <w:pPr>
                              <w:spacing w:after="0"/>
                              <w:ind w:right="-46"/>
                              <w:jc w:val="left"/>
                              <w:rPr>
                                <w:rFonts w:cs="Arial"/>
                                <w:b/>
                                <w:bCs/>
                                <w:sz w:val="52"/>
                                <w:szCs w:val="52"/>
                              </w:rPr>
                            </w:pPr>
                            <w:r>
                              <w:rPr>
                                <w:rFonts w:cs="Arial"/>
                                <w:b/>
                                <w:bCs/>
                                <w:sz w:val="52"/>
                                <w:szCs w:val="52"/>
                              </w:rPr>
                              <w:t xml:space="preserve">The County Council's </w:t>
                            </w:r>
                            <w:r w:rsidR="00383CDE">
                              <w:rPr>
                                <w:rFonts w:cs="Arial"/>
                                <w:b/>
                                <w:bCs/>
                                <w:sz w:val="52"/>
                                <w:szCs w:val="52"/>
                              </w:rPr>
                              <w:t xml:space="preserve">Revenue </w:t>
                            </w:r>
                            <w:r>
                              <w:rPr>
                                <w:rFonts w:cs="Arial"/>
                                <w:b/>
                                <w:bCs/>
                                <w:sz w:val="52"/>
                                <w:szCs w:val="52"/>
                              </w:rPr>
                              <w:t xml:space="preserve">Financial Position </w:t>
                            </w:r>
                          </w:p>
                          <w:p w14:paraId="4E83A78A" w14:textId="6BAB5372" w:rsidR="00E118FC" w:rsidRPr="0037393E" w:rsidRDefault="00E118FC" w:rsidP="007446BB">
                            <w:pPr>
                              <w:spacing w:after="0"/>
                              <w:ind w:right="-46"/>
                              <w:jc w:val="left"/>
                              <w:rPr>
                                <w:rFonts w:cs="Arial"/>
                                <w:b/>
                                <w:bCs/>
                                <w:sz w:val="52"/>
                                <w:szCs w:val="52"/>
                              </w:rPr>
                            </w:pPr>
                            <w:r>
                              <w:rPr>
                                <w:rFonts w:cs="Arial"/>
                                <w:b/>
                                <w:bCs/>
                                <w:sz w:val="52"/>
                                <w:szCs w:val="52"/>
                              </w:rPr>
                              <w:t>As at 31</w:t>
                            </w:r>
                            <w:r w:rsidRPr="00CA72D1">
                              <w:rPr>
                                <w:rFonts w:cs="Arial"/>
                                <w:b/>
                                <w:bCs/>
                                <w:sz w:val="52"/>
                                <w:szCs w:val="52"/>
                                <w:vertAlign w:val="superscript"/>
                              </w:rPr>
                              <w:t>st</w:t>
                            </w:r>
                            <w:r>
                              <w:rPr>
                                <w:rFonts w:cs="Arial"/>
                                <w:b/>
                                <w:bCs/>
                                <w:sz w:val="52"/>
                                <w:szCs w:val="52"/>
                              </w:rPr>
                              <w:t xml:space="preserve"> December</w:t>
                            </w:r>
                            <w:r w:rsidRPr="00406EFB">
                              <w:rPr>
                                <w:rFonts w:cs="Arial"/>
                                <w:b/>
                                <w:bCs/>
                                <w:sz w:val="52"/>
                                <w:szCs w:val="52"/>
                              </w:rPr>
                              <w:t xml:space="preserve"> 2017</w:t>
                            </w:r>
                          </w:p>
                          <w:p w14:paraId="2BBF39A4" w14:textId="77777777" w:rsidR="00E118FC" w:rsidRPr="0037393E" w:rsidRDefault="00E118FC" w:rsidP="007446BB">
                            <w:pPr>
                              <w:spacing w:after="0"/>
                              <w:ind w:right="-46"/>
                              <w:jc w:val="left"/>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161AC01" id="_x0000_t202" coordsize="21600,21600" o:spt="202" path="m,l,21600r21600,l21600,xe">
                <v:stroke joinstyle="miter"/>
                <v:path gradientshapeok="t" o:connecttype="rect"/>
              </v:shapetype>
              <v:shape id="Text Box 4" o:spid="_x0000_s1026" type="#_x0000_t202" style="position:absolute;left:0;text-align:left;margin-left:-38.95pt;margin-top:454.25pt;width:522.85pt;height:2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" filled="f" stroked="f">
                <v:textbox>
                  <w:txbxContent>
                    <w:p w14:paraId="574DADB7" w14:textId="77777777" w:rsidR="00E118FC" w:rsidRDefault="00E118FC" w:rsidP="007446BB">
                      <w:pPr>
                        <w:spacing w:after="0"/>
                        <w:ind w:right="-46"/>
                        <w:jc w:val="left"/>
                        <w:rPr>
                          <w:rFonts w:cs="Arial"/>
                          <w:b/>
                          <w:bCs/>
                          <w:sz w:val="52"/>
                          <w:szCs w:val="52"/>
                        </w:rPr>
                      </w:pPr>
                    </w:p>
                    <w:p w14:paraId="5A0E36B2" w14:textId="77777777" w:rsidR="00E118FC" w:rsidRPr="0037393E" w:rsidRDefault="00E118FC" w:rsidP="007446BB">
                      <w:pPr>
                        <w:spacing w:after="0"/>
                        <w:ind w:right="-46"/>
                        <w:jc w:val="left"/>
                        <w:rPr>
                          <w:rFonts w:cs="Arial"/>
                          <w:b/>
                          <w:bCs/>
                          <w:sz w:val="52"/>
                          <w:szCs w:val="52"/>
                        </w:rPr>
                      </w:pPr>
                    </w:p>
                    <w:p w14:paraId="6E55361C" w14:textId="77777777" w:rsidR="00E118FC" w:rsidRDefault="00E118FC" w:rsidP="007446BB">
                      <w:pPr>
                        <w:spacing w:after="0"/>
                        <w:ind w:right="-46"/>
                        <w:jc w:val="left"/>
                        <w:rPr>
                          <w:rFonts w:cs="Arial"/>
                          <w:b/>
                          <w:bCs/>
                          <w:sz w:val="52"/>
                          <w:szCs w:val="52"/>
                        </w:rPr>
                      </w:pPr>
                      <w:r>
                        <w:rPr>
                          <w:rFonts w:cs="Arial"/>
                          <w:b/>
                          <w:bCs/>
                          <w:sz w:val="52"/>
                          <w:szCs w:val="52"/>
                        </w:rPr>
                        <w:t>Money Matters</w:t>
                      </w:r>
                    </w:p>
                    <w:p w14:paraId="5609BC24" w14:textId="101FF60E" w:rsidR="00E118FC" w:rsidRDefault="00E118FC" w:rsidP="007446BB">
                      <w:pPr>
                        <w:spacing w:after="0"/>
                        <w:ind w:right="-46"/>
                        <w:jc w:val="left"/>
                        <w:rPr>
                          <w:rFonts w:cs="Arial"/>
                          <w:b/>
                          <w:bCs/>
                          <w:sz w:val="52"/>
                          <w:szCs w:val="52"/>
                        </w:rPr>
                      </w:pPr>
                      <w:r>
                        <w:rPr>
                          <w:rFonts w:cs="Arial"/>
                          <w:b/>
                          <w:bCs/>
                          <w:sz w:val="52"/>
                          <w:szCs w:val="52"/>
                        </w:rPr>
                        <w:t xml:space="preserve">The County Council's </w:t>
                      </w:r>
                      <w:r w:rsidR="00383CDE">
                        <w:rPr>
                          <w:rFonts w:cs="Arial"/>
                          <w:b/>
                          <w:bCs/>
                          <w:sz w:val="52"/>
                          <w:szCs w:val="52"/>
                        </w:rPr>
                        <w:t xml:space="preserve">Revenue </w:t>
                      </w:r>
                      <w:r>
                        <w:rPr>
                          <w:rFonts w:cs="Arial"/>
                          <w:b/>
                          <w:bCs/>
                          <w:sz w:val="52"/>
                          <w:szCs w:val="52"/>
                        </w:rPr>
                        <w:t xml:space="preserve">Financial Position </w:t>
                      </w:r>
                    </w:p>
                    <w:p w14:paraId="4E83A78A" w14:textId="6BAB5372" w:rsidR="00E118FC" w:rsidRPr="0037393E" w:rsidRDefault="00E118FC" w:rsidP="007446BB">
                      <w:pPr>
                        <w:spacing w:after="0"/>
                        <w:ind w:right="-46"/>
                        <w:jc w:val="left"/>
                        <w:rPr>
                          <w:rFonts w:cs="Arial"/>
                          <w:b/>
                          <w:bCs/>
                          <w:sz w:val="52"/>
                          <w:szCs w:val="52"/>
                        </w:rPr>
                      </w:pPr>
                      <w:r>
                        <w:rPr>
                          <w:rFonts w:cs="Arial"/>
                          <w:b/>
                          <w:bCs/>
                          <w:sz w:val="52"/>
                          <w:szCs w:val="52"/>
                        </w:rPr>
                        <w:t>As at 31</w:t>
                      </w:r>
                      <w:r w:rsidRPr="00CA72D1">
                        <w:rPr>
                          <w:rFonts w:cs="Arial"/>
                          <w:b/>
                          <w:bCs/>
                          <w:sz w:val="52"/>
                          <w:szCs w:val="52"/>
                          <w:vertAlign w:val="superscript"/>
                        </w:rPr>
                        <w:t>st</w:t>
                      </w:r>
                      <w:r>
                        <w:rPr>
                          <w:rFonts w:cs="Arial"/>
                          <w:b/>
                          <w:bCs/>
                          <w:sz w:val="52"/>
                          <w:szCs w:val="52"/>
                        </w:rPr>
                        <w:t xml:space="preserve"> December</w:t>
                      </w:r>
                      <w:r w:rsidRPr="00406EFB">
                        <w:rPr>
                          <w:rFonts w:cs="Arial"/>
                          <w:b/>
                          <w:bCs/>
                          <w:sz w:val="52"/>
                          <w:szCs w:val="52"/>
                        </w:rPr>
                        <w:t xml:space="preserve"> 2017</w:t>
                      </w:r>
                    </w:p>
                    <w:p w14:paraId="2BBF39A4" w14:textId="77777777" w:rsidR="00E118FC" w:rsidRPr="0037393E" w:rsidRDefault="00E118FC" w:rsidP="007446BB">
                      <w:pPr>
                        <w:spacing w:after="0"/>
                        <w:ind w:right="-46"/>
                        <w:jc w:val="left"/>
                        <w:rPr>
                          <w:rFonts w:cs="Arial"/>
                          <w:b/>
                          <w:bCs/>
                          <w:sz w:val="52"/>
                          <w:szCs w:val="52"/>
                        </w:rPr>
                      </w:pPr>
                    </w:p>
                  </w:txbxContent>
                </v:textbox>
              </v:shape>
            </w:pict>
          </mc:Fallback>
        </mc:AlternateContent>
      </w:r>
    </w:p>
    <w:p w14:paraId="325E4DE0" w14:textId="352F2C10" w:rsidR="007446BB" w:rsidRPr="00E118FC" w:rsidRDefault="007446BB" w:rsidP="00E118FC">
      <w:pPr>
        <w:autoSpaceDE/>
        <w:autoSpaceDN/>
        <w:adjustRightInd/>
        <w:spacing w:after="0"/>
        <w:rPr>
          <w:rFonts w:eastAsia="Arial Unicode MS" w:cs="Arial"/>
          <w:b/>
          <w:sz w:val="28"/>
          <w:szCs w:val="28"/>
          <w:u w:color="000000"/>
          <w:lang w:eastAsia="en-GB"/>
        </w:rPr>
      </w:pPr>
      <w:r w:rsidRPr="00FB36C0">
        <w:rPr>
          <w:rFonts w:eastAsia="Times New Roman" w:cs="Arial"/>
          <w:sz w:val="32"/>
          <w:szCs w:val="32"/>
          <w:lang w:eastAsia="en-GB"/>
        </w:rPr>
        <w:lastRenderedPageBreak/>
        <w:t xml:space="preserve">Money Matters – Update on the County Council's </w:t>
      </w:r>
      <w:r w:rsidR="00383CDE">
        <w:rPr>
          <w:rFonts w:eastAsia="Times New Roman" w:cs="Arial"/>
          <w:sz w:val="32"/>
          <w:szCs w:val="32"/>
          <w:lang w:eastAsia="en-GB"/>
        </w:rPr>
        <w:t xml:space="preserve">Revenue </w:t>
      </w:r>
      <w:r w:rsidRPr="00FB36C0">
        <w:rPr>
          <w:rFonts w:eastAsia="Times New Roman" w:cs="Arial"/>
          <w:sz w:val="32"/>
          <w:szCs w:val="32"/>
          <w:lang w:eastAsia="en-GB"/>
        </w:rPr>
        <w:t>Financial Position for 201</w:t>
      </w:r>
      <w:r>
        <w:rPr>
          <w:rFonts w:eastAsia="Times New Roman" w:cs="Arial"/>
          <w:sz w:val="32"/>
          <w:szCs w:val="32"/>
          <w:lang w:eastAsia="en-GB"/>
        </w:rPr>
        <w:t>7</w:t>
      </w:r>
      <w:r w:rsidRPr="00FB36C0">
        <w:rPr>
          <w:rFonts w:eastAsia="Times New Roman" w:cs="Arial"/>
          <w:sz w:val="32"/>
          <w:szCs w:val="32"/>
          <w:lang w:eastAsia="en-GB"/>
        </w:rPr>
        <w:t>/1</w:t>
      </w:r>
      <w:r>
        <w:rPr>
          <w:rFonts w:eastAsia="Times New Roman" w:cs="Arial"/>
          <w:sz w:val="32"/>
          <w:szCs w:val="32"/>
          <w:lang w:eastAsia="en-GB"/>
        </w:rPr>
        <w:t>8</w:t>
      </w:r>
    </w:p>
    <w:p w14:paraId="66DE5A2C" w14:textId="77777777" w:rsidR="007446BB" w:rsidRPr="00FB36C0" w:rsidRDefault="007446BB" w:rsidP="007446BB">
      <w:pPr>
        <w:tabs>
          <w:tab w:val="left" w:pos="851"/>
          <w:tab w:val="left" w:pos="1418"/>
        </w:tabs>
        <w:spacing w:after="0"/>
        <w:rPr>
          <w:rFonts w:eastAsia="Times New Roman" w:cs="Arial"/>
          <w:lang w:eastAsia="en-GB"/>
        </w:rPr>
      </w:pPr>
    </w:p>
    <w:p w14:paraId="7B3634FB" w14:textId="77777777" w:rsidR="007446BB" w:rsidRPr="00FB36C0" w:rsidRDefault="007446BB" w:rsidP="007446BB">
      <w:pPr>
        <w:tabs>
          <w:tab w:val="left" w:pos="851"/>
          <w:tab w:val="left" w:pos="1418"/>
        </w:tabs>
        <w:spacing w:after="0"/>
        <w:rPr>
          <w:rFonts w:eastAsia="Times New Roman" w:cs="Arial"/>
          <w:b/>
          <w:lang w:eastAsia="en-GB"/>
        </w:rPr>
      </w:pPr>
      <w:r w:rsidRPr="00FB36C0">
        <w:rPr>
          <w:rFonts w:eastAsia="Times New Roman" w:cs="Arial"/>
          <w:b/>
          <w:lang w:eastAsia="en-GB"/>
        </w:rPr>
        <w:t>1.</w:t>
      </w:r>
      <w:r w:rsidRPr="00FB36C0">
        <w:rPr>
          <w:rFonts w:eastAsia="Times New Roman" w:cs="Arial"/>
          <w:b/>
          <w:lang w:eastAsia="en-GB"/>
        </w:rPr>
        <w:tab/>
        <w:t>Introduction</w:t>
      </w:r>
    </w:p>
    <w:p w14:paraId="699B69B5" w14:textId="77777777" w:rsidR="007446BB" w:rsidRPr="00FB36C0" w:rsidRDefault="007446BB" w:rsidP="007446BB">
      <w:pPr>
        <w:tabs>
          <w:tab w:val="left" w:pos="851"/>
          <w:tab w:val="left" w:pos="1418"/>
        </w:tabs>
        <w:spacing w:after="0"/>
        <w:rPr>
          <w:rFonts w:eastAsia="Times New Roman" w:cs="Arial"/>
          <w:lang w:eastAsia="en-GB"/>
        </w:rPr>
      </w:pPr>
    </w:p>
    <w:p w14:paraId="0A332D95" w14:textId="77777777" w:rsidR="007446BB" w:rsidRPr="005E438B" w:rsidRDefault="007446BB" w:rsidP="007446BB">
      <w:pPr>
        <w:tabs>
          <w:tab w:val="left" w:pos="851"/>
          <w:tab w:val="left" w:pos="1418"/>
        </w:tabs>
        <w:spacing w:after="0"/>
        <w:rPr>
          <w:rFonts w:eastAsia="Times New Roman" w:cs="Arial"/>
          <w:lang w:eastAsia="en-GB"/>
        </w:rPr>
      </w:pPr>
      <w:r w:rsidRPr="005E438B">
        <w:rPr>
          <w:rFonts w:eastAsia="Times New Roman" w:cs="Arial"/>
          <w:lang w:eastAsia="en-GB"/>
        </w:rPr>
        <w:t xml:space="preserve">This report provides an update for </w:t>
      </w:r>
      <w:r>
        <w:rPr>
          <w:rFonts w:eastAsia="Times New Roman" w:cs="Arial"/>
          <w:lang w:eastAsia="en-GB"/>
        </w:rPr>
        <w:t xml:space="preserve">Cabinet </w:t>
      </w:r>
      <w:r w:rsidRPr="005E438B">
        <w:rPr>
          <w:rFonts w:eastAsia="Times New Roman" w:cs="Arial"/>
          <w:lang w:eastAsia="en-GB"/>
        </w:rPr>
        <w:t>on the County Council's 201</w:t>
      </w:r>
      <w:r>
        <w:rPr>
          <w:rFonts w:eastAsia="Times New Roman" w:cs="Arial"/>
          <w:lang w:eastAsia="en-GB"/>
        </w:rPr>
        <w:t>7</w:t>
      </w:r>
      <w:r w:rsidRPr="005E438B">
        <w:rPr>
          <w:rFonts w:eastAsia="Times New Roman" w:cs="Arial"/>
          <w:lang w:eastAsia="en-GB"/>
        </w:rPr>
        <w:t>/1</w:t>
      </w:r>
      <w:r>
        <w:rPr>
          <w:rFonts w:eastAsia="Times New Roman" w:cs="Arial"/>
          <w:lang w:eastAsia="en-GB"/>
        </w:rPr>
        <w:t>8</w:t>
      </w:r>
      <w:r w:rsidRPr="005E438B">
        <w:rPr>
          <w:rFonts w:eastAsia="Times New Roman" w:cs="Arial"/>
          <w:lang w:eastAsia="en-GB"/>
        </w:rPr>
        <w:t xml:space="preserve"> revenue</w:t>
      </w:r>
      <w:r>
        <w:rPr>
          <w:rFonts w:eastAsia="Times New Roman" w:cs="Arial"/>
          <w:lang w:eastAsia="en-GB"/>
        </w:rPr>
        <w:t xml:space="preserve"> </w:t>
      </w:r>
      <w:r w:rsidRPr="005E438B">
        <w:rPr>
          <w:rFonts w:eastAsia="Times New Roman" w:cs="Arial"/>
          <w:lang w:eastAsia="en-GB"/>
        </w:rPr>
        <w:t>financial</w:t>
      </w:r>
      <w:r>
        <w:rPr>
          <w:rFonts w:eastAsia="Times New Roman" w:cs="Arial"/>
          <w:lang w:eastAsia="en-GB"/>
        </w:rPr>
        <w:t xml:space="preserve"> position. </w:t>
      </w:r>
    </w:p>
    <w:p w14:paraId="68686506" w14:textId="77777777" w:rsidR="007446BB" w:rsidRPr="00FB36C0" w:rsidRDefault="007446BB" w:rsidP="007446BB">
      <w:pPr>
        <w:tabs>
          <w:tab w:val="left" w:pos="851"/>
          <w:tab w:val="left" w:pos="1418"/>
        </w:tabs>
        <w:spacing w:after="0"/>
        <w:rPr>
          <w:rFonts w:eastAsia="Times New Roman" w:cs="Arial"/>
          <w:lang w:eastAsia="en-GB"/>
        </w:rPr>
      </w:pPr>
    </w:p>
    <w:p w14:paraId="07F8845B" w14:textId="77777777" w:rsidR="007446BB" w:rsidRDefault="007446BB" w:rsidP="007446BB">
      <w:pPr>
        <w:tabs>
          <w:tab w:val="left" w:pos="851"/>
          <w:tab w:val="left" w:pos="1418"/>
        </w:tabs>
        <w:spacing w:after="0"/>
        <w:rPr>
          <w:rFonts w:eastAsia="Times New Roman" w:cs="Arial"/>
          <w:b/>
          <w:lang w:eastAsia="en-GB"/>
        </w:rPr>
      </w:pPr>
      <w:r w:rsidRPr="00FB36C0">
        <w:rPr>
          <w:rFonts w:eastAsia="Times New Roman" w:cs="Arial"/>
          <w:b/>
          <w:lang w:eastAsia="en-GB"/>
        </w:rPr>
        <w:t>2.</w:t>
      </w:r>
      <w:r w:rsidRPr="00FB36C0">
        <w:rPr>
          <w:rFonts w:eastAsia="Times New Roman" w:cs="Arial"/>
          <w:b/>
          <w:lang w:eastAsia="en-GB"/>
        </w:rPr>
        <w:tab/>
        <w:t>Summary of the Financial Position</w:t>
      </w:r>
    </w:p>
    <w:p w14:paraId="63FA3D1F" w14:textId="77777777" w:rsidR="007446BB" w:rsidRDefault="007446BB" w:rsidP="007446BB">
      <w:pPr>
        <w:tabs>
          <w:tab w:val="left" w:pos="851"/>
          <w:tab w:val="left" w:pos="1418"/>
        </w:tabs>
        <w:spacing w:after="0"/>
        <w:rPr>
          <w:rFonts w:eastAsia="Times New Roman" w:cs="Arial"/>
          <w:b/>
          <w:lang w:eastAsia="en-GB"/>
        </w:rPr>
      </w:pPr>
    </w:p>
    <w:p w14:paraId="1207B298" w14:textId="7DD224E6" w:rsidR="007446BB" w:rsidRPr="003A29DE" w:rsidRDefault="007446BB" w:rsidP="007446BB">
      <w:pPr>
        <w:tabs>
          <w:tab w:val="left" w:pos="851"/>
          <w:tab w:val="left" w:pos="1418"/>
        </w:tabs>
        <w:spacing w:after="0"/>
        <w:rPr>
          <w:rFonts w:eastAsia="Times New Roman" w:cs="Arial"/>
          <w:lang w:eastAsia="en-GB"/>
        </w:rPr>
      </w:pPr>
      <w:r w:rsidRPr="003A29DE">
        <w:rPr>
          <w:rFonts w:eastAsia="Times New Roman" w:cs="Arial"/>
          <w:lang w:eastAsia="en-GB"/>
        </w:rPr>
        <w:t>In February 2017 the County Council approved a revenue bu</w:t>
      </w:r>
      <w:r w:rsidR="00E118FC">
        <w:rPr>
          <w:rFonts w:eastAsia="Times New Roman" w:cs="Arial"/>
          <w:lang w:eastAsia="en-GB"/>
        </w:rPr>
        <w:t xml:space="preserve">dget of £724.822m which included an approved </w:t>
      </w:r>
      <w:r w:rsidRPr="003A29DE">
        <w:rPr>
          <w:rFonts w:eastAsia="Times New Roman" w:cs="Arial"/>
          <w:lang w:eastAsia="en-GB"/>
        </w:rPr>
        <w:t xml:space="preserve">contribution from reserves of £57.106m to fund the shortfall between estimated expenditure levels and available funding. </w:t>
      </w:r>
    </w:p>
    <w:p w14:paraId="4C5B2D03" w14:textId="77777777" w:rsidR="007446BB" w:rsidRPr="00471CAA" w:rsidRDefault="007446BB" w:rsidP="007446BB">
      <w:pPr>
        <w:tabs>
          <w:tab w:val="left" w:pos="851"/>
          <w:tab w:val="left" w:pos="1418"/>
        </w:tabs>
        <w:spacing w:after="0"/>
        <w:rPr>
          <w:rFonts w:eastAsia="Times New Roman" w:cs="Arial"/>
          <w:highlight w:val="yellow"/>
          <w:lang w:eastAsia="en-GB"/>
        </w:rPr>
      </w:pPr>
    </w:p>
    <w:p w14:paraId="61AEAB91" w14:textId="6A11993C" w:rsidR="00CA72D1" w:rsidRPr="00CA72D1" w:rsidRDefault="00CA72D1" w:rsidP="00CA72D1">
      <w:pPr>
        <w:tabs>
          <w:tab w:val="left" w:pos="851"/>
          <w:tab w:val="left" w:pos="1418"/>
        </w:tabs>
        <w:spacing w:after="0"/>
        <w:rPr>
          <w:rFonts w:eastAsia="Times New Roman" w:cs="Arial"/>
          <w:lang w:eastAsia="en-GB"/>
        </w:rPr>
      </w:pPr>
      <w:r w:rsidRPr="00CA72D1">
        <w:rPr>
          <w:rFonts w:eastAsia="Times New Roman" w:cs="Arial"/>
          <w:lang w:eastAsia="en-GB"/>
        </w:rPr>
        <w:t>This report provides a view on the Council's curren</w:t>
      </w:r>
      <w:r>
        <w:rPr>
          <w:rFonts w:eastAsia="Times New Roman" w:cs="Arial"/>
          <w:lang w:eastAsia="en-GB"/>
        </w:rPr>
        <w:t xml:space="preserve">t financial performance and the </w:t>
      </w:r>
      <w:r w:rsidRPr="00CA72D1">
        <w:rPr>
          <w:rFonts w:eastAsia="Times New Roman" w:cs="Arial"/>
          <w:lang w:eastAsia="en-GB"/>
        </w:rPr>
        <w:t>anticipated position at the year end. The forecas</w:t>
      </w:r>
      <w:r>
        <w:rPr>
          <w:rFonts w:eastAsia="Times New Roman" w:cs="Arial"/>
          <w:lang w:eastAsia="en-GB"/>
        </w:rPr>
        <w:t xml:space="preserve">t is predominantly based on the </w:t>
      </w:r>
      <w:r w:rsidRPr="00CA72D1">
        <w:rPr>
          <w:rFonts w:eastAsia="Times New Roman" w:cs="Arial"/>
          <w:lang w:eastAsia="en-GB"/>
        </w:rPr>
        <w:t>informatio</w:t>
      </w:r>
      <w:r>
        <w:rPr>
          <w:rFonts w:eastAsia="Times New Roman" w:cs="Arial"/>
          <w:lang w:eastAsia="en-GB"/>
        </w:rPr>
        <w:t>n up to the end of November 2017</w:t>
      </w:r>
      <w:r w:rsidRPr="00CA72D1">
        <w:rPr>
          <w:rFonts w:eastAsia="Times New Roman" w:cs="Arial"/>
          <w:lang w:eastAsia="en-GB"/>
        </w:rPr>
        <w:t xml:space="preserve"> with adju</w:t>
      </w:r>
      <w:r>
        <w:rPr>
          <w:rFonts w:eastAsia="Times New Roman" w:cs="Arial"/>
          <w:lang w:eastAsia="en-GB"/>
        </w:rPr>
        <w:t xml:space="preserve">stments made to reflect further </w:t>
      </w:r>
      <w:r w:rsidRPr="00CA72D1">
        <w:rPr>
          <w:rFonts w:eastAsia="Times New Roman" w:cs="Arial"/>
          <w:lang w:eastAsia="en-GB"/>
        </w:rPr>
        <w:t>information available in December (this is usual practice for Quarter 3 reports due to</w:t>
      </w:r>
    </w:p>
    <w:p w14:paraId="26AD34D3" w14:textId="01DE8FE2" w:rsidR="00CA72D1" w:rsidRDefault="00CA72D1" w:rsidP="00CA72D1">
      <w:pPr>
        <w:tabs>
          <w:tab w:val="left" w:pos="851"/>
          <w:tab w:val="left" w:pos="1418"/>
        </w:tabs>
        <w:spacing w:after="0"/>
        <w:rPr>
          <w:rFonts w:eastAsia="Times New Roman" w:cs="Arial"/>
          <w:lang w:eastAsia="en-GB"/>
        </w:rPr>
      </w:pPr>
      <w:r w:rsidRPr="00CA72D1">
        <w:rPr>
          <w:rFonts w:eastAsia="Times New Roman" w:cs="Arial"/>
          <w:lang w:eastAsia="en-GB"/>
        </w:rPr>
        <w:t>Cabinet deadlines). The report also contains a compar</w:t>
      </w:r>
      <w:r>
        <w:rPr>
          <w:rFonts w:eastAsia="Times New Roman" w:cs="Arial"/>
          <w:lang w:eastAsia="en-GB"/>
        </w:rPr>
        <w:t xml:space="preserve">ison to the previously reported </w:t>
      </w:r>
      <w:r w:rsidRPr="00CA72D1">
        <w:rPr>
          <w:rFonts w:eastAsia="Times New Roman" w:cs="Arial"/>
          <w:lang w:eastAsia="en-GB"/>
        </w:rPr>
        <w:t>financial position as</w:t>
      </w:r>
      <w:r>
        <w:rPr>
          <w:rFonts w:eastAsia="Times New Roman" w:cs="Arial"/>
          <w:lang w:eastAsia="en-GB"/>
        </w:rPr>
        <w:t xml:space="preserve"> at 30</w:t>
      </w:r>
      <w:r w:rsidRPr="00CA72D1">
        <w:rPr>
          <w:rFonts w:eastAsia="Times New Roman" w:cs="Arial"/>
          <w:vertAlign w:val="superscript"/>
          <w:lang w:eastAsia="en-GB"/>
        </w:rPr>
        <w:t>th</w:t>
      </w:r>
      <w:r>
        <w:rPr>
          <w:rFonts w:eastAsia="Times New Roman" w:cs="Arial"/>
          <w:lang w:eastAsia="en-GB"/>
        </w:rPr>
        <w:t xml:space="preserve"> September (Quarter 2)</w:t>
      </w:r>
      <w:r w:rsidR="00E118FC">
        <w:rPr>
          <w:rFonts w:eastAsia="Times New Roman" w:cs="Arial"/>
          <w:lang w:eastAsia="en-GB"/>
        </w:rPr>
        <w:t>.</w:t>
      </w:r>
    </w:p>
    <w:p w14:paraId="5BA1E7A5" w14:textId="77777777" w:rsidR="00CA72D1" w:rsidRDefault="00CA72D1" w:rsidP="007446BB">
      <w:pPr>
        <w:tabs>
          <w:tab w:val="left" w:pos="851"/>
          <w:tab w:val="left" w:pos="1418"/>
        </w:tabs>
        <w:spacing w:after="0"/>
        <w:rPr>
          <w:rFonts w:eastAsia="Times New Roman" w:cs="Arial"/>
          <w:lang w:eastAsia="en-GB"/>
        </w:rPr>
      </w:pPr>
    </w:p>
    <w:p w14:paraId="60DAA3FB" w14:textId="618C2325" w:rsidR="007446BB" w:rsidRDefault="007446BB" w:rsidP="007446BB">
      <w:pPr>
        <w:tabs>
          <w:tab w:val="left" w:pos="851"/>
          <w:tab w:val="left" w:pos="1418"/>
        </w:tabs>
        <w:spacing w:after="0"/>
        <w:rPr>
          <w:rFonts w:eastAsia="Times New Roman" w:cs="Arial"/>
          <w:lang w:eastAsia="en-GB"/>
        </w:rPr>
      </w:pPr>
      <w:r w:rsidRPr="003A29DE">
        <w:rPr>
          <w:rFonts w:eastAsia="Times New Roman" w:cs="Arial"/>
          <w:lang w:eastAsia="en-GB"/>
        </w:rPr>
        <w:t>The forecast final position for the end of the year is net expenditure of £7</w:t>
      </w:r>
      <w:r w:rsidR="00EC13B4">
        <w:rPr>
          <w:rFonts w:eastAsia="Times New Roman" w:cs="Arial"/>
          <w:lang w:eastAsia="en-GB"/>
        </w:rPr>
        <w:t>09.064</w:t>
      </w:r>
      <w:r w:rsidRPr="003A29DE">
        <w:rPr>
          <w:rFonts w:eastAsia="Times New Roman" w:cs="Arial"/>
          <w:lang w:eastAsia="en-GB"/>
        </w:rPr>
        <w:t>m, reflecting a predic</w:t>
      </w:r>
      <w:r w:rsidR="00EC13B4">
        <w:rPr>
          <w:rFonts w:eastAsia="Times New Roman" w:cs="Arial"/>
          <w:lang w:eastAsia="en-GB"/>
        </w:rPr>
        <w:t>ted in year underspend of £15.758</w:t>
      </w:r>
      <w:r w:rsidRPr="003A29DE">
        <w:rPr>
          <w:rFonts w:eastAsia="Times New Roman" w:cs="Arial"/>
          <w:lang w:eastAsia="en-GB"/>
        </w:rPr>
        <w:t xml:space="preserve">m which represents </w:t>
      </w:r>
      <w:r w:rsidR="00EC13B4">
        <w:rPr>
          <w:rFonts w:eastAsia="Times New Roman" w:cs="Arial"/>
          <w:lang w:eastAsia="en-GB"/>
        </w:rPr>
        <w:t>2.17</w:t>
      </w:r>
      <w:r w:rsidRPr="003A29DE">
        <w:rPr>
          <w:rFonts w:eastAsia="Times New Roman" w:cs="Arial"/>
          <w:lang w:eastAsia="en-GB"/>
        </w:rPr>
        <w:t>% of the budget.</w:t>
      </w:r>
      <w:r>
        <w:rPr>
          <w:rFonts w:eastAsia="Times New Roman" w:cs="Arial"/>
          <w:lang w:eastAsia="en-GB"/>
        </w:rPr>
        <w:t xml:space="preserve">  </w:t>
      </w:r>
    </w:p>
    <w:p w14:paraId="75038EC5" w14:textId="77777777" w:rsidR="007446BB" w:rsidRDefault="007446BB" w:rsidP="007446BB">
      <w:pPr>
        <w:pStyle w:val="NoSpacing"/>
        <w:jc w:val="both"/>
        <w:rPr>
          <w:rFonts w:cs="Arial"/>
          <w:szCs w:val="24"/>
        </w:rPr>
      </w:pPr>
    </w:p>
    <w:p w14:paraId="24891879" w14:textId="4F72CEEE" w:rsidR="007446BB" w:rsidRPr="00FB36C0" w:rsidRDefault="007446BB" w:rsidP="007446BB">
      <w:pPr>
        <w:tabs>
          <w:tab w:val="left" w:pos="851"/>
          <w:tab w:val="left" w:pos="1418"/>
        </w:tabs>
        <w:spacing w:after="0"/>
      </w:pPr>
      <w:r w:rsidRPr="00E118FC">
        <w:t xml:space="preserve">The 2017/18 budget of £724.822m </w:t>
      </w:r>
      <w:r w:rsidR="009D6C22" w:rsidRPr="00E118FC">
        <w:t>include</w:t>
      </w:r>
      <w:r w:rsidR="009D6C22">
        <w:t xml:space="preserve">d a </w:t>
      </w:r>
      <w:r w:rsidRPr="00E118FC">
        <w:t>savings requirement of c£54m</w:t>
      </w:r>
      <w:r w:rsidR="00E118FC">
        <w:t xml:space="preserve"> (</w:t>
      </w:r>
      <w:r w:rsidR="009D6C22">
        <w:t xml:space="preserve">some of which will be achieved across </w:t>
      </w:r>
      <w:r w:rsidR="00E118FC">
        <w:t>2018</w:t>
      </w:r>
      <w:r w:rsidR="009D6C22">
        <w:t>/9</w:t>
      </w:r>
      <w:r w:rsidR="00E118FC">
        <w:t xml:space="preserve"> – 2020/21)</w:t>
      </w:r>
      <w:r w:rsidRPr="00E118FC">
        <w:t xml:space="preserve">.  </w:t>
      </w:r>
      <w:r w:rsidR="009D6C22">
        <w:t xml:space="preserve">As a </w:t>
      </w:r>
      <w:r w:rsidRPr="001F29AA">
        <w:t xml:space="preserve">proportion of savings will not be fully </w:t>
      </w:r>
      <w:r w:rsidR="009D6C22">
        <w:t>implemented until 2018/19</w:t>
      </w:r>
      <w:r w:rsidRPr="001F29AA">
        <w:t xml:space="preserve"> it was agreed that these would be covered by the use of reserves to facilitate the transformation of services.</w:t>
      </w:r>
    </w:p>
    <w:p w14:paraId="3A7CAC01" w14:textId="77777777" w:rsidR="007446BB" w:rsidRPr="001F29AA" w:rsidRDefault="007446BB" w:rsidP="007446BB">
      <w:pPr>
        <w:tabs>
          <w:tab w:val="left" w:pos="851"/>
          <w:tab w:val="left" w:pos="1418"/>
        </w:tabs>
        <w:spacing w:after="0"/>
      </w:pPr>
    </w:p>
    <w:p w14:paraId="5BDF783B" w14:textId="5D77C5F3" w:rsidR="007446BB" w:rsidRPr="001F29AA" w:rsidRDefault="007446BB" w:rsidP="007446BB">
      <w:pPr>
        <w:tabs>
          <w:tab w:val="left" w:pos="851"/>
          <w:tab w:val="left" w:pos="1418"/>
        </w:tabs>
        <w:spacing w:after="0"/>
      </w:pPr>
      <w:r w:rsidRPr="00E118FC">
        <w:t xml:space="preserve">The narrative provides details as to progress on the achievement and delivery of the savings relating to each Head of Service. The level of reserves that were approved to be applied from the Transitional Reserve 2017/18 in support of the delivery of savings was £24.2m and the amount that is now forecast to be required is £16.5m. This is due to early delivery of some savings, particularly through staff vacancies and turnover, </w:t>
      </w:r>
      <w:r w:rsidR="009D6C22">
        <w:t>noting</w:t>
      </w:r>
      <w:r w:rsidRPr="00E118FC">
        <w:t xml:space="preserve"> this is partially offset by some budget savings that are delayed and require </w:t>
      </w:r>
      <w:r w:rsidR="009D6C22">
        <w:t xml:space="preserve">longer </w:t>
      </w:r>
      <w:r w:rsidRPr="00E118FC">
        <w:t xml:space="preserve">reserve funding </w:t>
      </w:r>
      <w:r w:rsidR="009D6C22">
        <w:t>than expected</w:t>
      </w:r>
      <w:r w:rsidRPr="00E118FC">
        <w:t>.</w:t>
      </w:r>
      <w:r w:rsidRPr="001F29AA">
        <w:t xml:space="preserve"> </w:t>
      </w:r>
    </w:p>
    <w:p w14:paraId="5AA2ADDE" w14:textId="77777777" w:rsidR="007446BB" w:rsidRPr="008B7B09" w:rsidRDefault="007446BB" w:rsidP="007446BB">
      <w:pPr>
        <w:tabs>
          <w:tab w:val="left" w:pos="851"/>
          <w:tab w:val="left" w:pos="1418"/>
        </w:tabs>
        <w:spacing w:after="0"/>
        <w:rPr>
          <w:highlight w:val="yellow"/>
        </w:rPr>
      </w:pPr>
    </w:p>
    <w:p w14:paraId="2DF50A98" w14:textId="351A1155" w:rsidR="007446BB" w:rsidRPr="00A71407" w:rsidRDefault="009D6C22" w:rsidP="007446BB">
      <w:pPr>
        <w:tabs>
          <w:tab w:val="left" w:pos="851"/>
          <w:tab w:val="left" w:pos="1418"/>
        </w:tabs>
        <w:spacing w:after="0"/>
      </w:pPr>
      <w:r>
        <w:t xml:space="preserve">Delivery of the </w:t>
      </w:r>
      <w:r w:rsidR="007446BB" w:rsidRPr="00A71407">
        <w:t xml:space="preserve">savings programme </w:t>
      </w:r>
      <w:r w:rsidR="007446BB">
        <w:t>is</w:t>
      </w:r>
      <w:r w:rsidR="007446BB" w:rsidRPr="00A71407">
        <w:t xml:space="preserve"> a key risk area and the savings plans </w:t>
      </w:r>
      <w:r w:rsidR="007446BB">
        <w:t>will continue to be</w:t>
      </w:r>
      <w:r w:rsidR="007446BB" w:rsidRPr="00A71407">
        <w:t xml:space="preserve"> subject to detailed </w:t>
      </w:r>
      <w:r>
        <w:t xml:space="preserve">and </w:t>
      </w:r>
      <w:r w:rsidR="007446BB" w:rsidRPr="00A71407">
        <w:t xml:space="preserve">regular scrutiny throughout </w:t>
      </w:r>
      <w:r w:rsidR="00E118FC">
        <w:t xml:space="preserve">the remainder of </w:t>
      </w:r>
      <w:r>
        <w:t xml:space="preserve">2017/18 by the Programme Office and Finance. </w:t>
      </w:r>
    </w:p>
    <w:p w14:paraId="2CA4471B" w14:textId="77777777" w:rsidR="007446BB" w:rsidRPr="00A71407" w:rsidRDefault="007446BB" w:rsidP="007446BB">
      <w:pPr>
        <w:tabs>
          <w:tab w:val="left" w:pos="851"/>
          <w:tab w:val="left" w:pos="1418"/>
        </w:tabs>
        <w:spacing w:after="0"/>
      </w:pPr>
    </w:p>
    <w:p w14:paraId="3548A123" w14:textId="77777777" w:rsidR="007446BB" w:rsidRDefault="007446BB" w:rsidP="007446BB">
      <w:pPr>
        <w:tabs>
          <w:tab w:val="left" w:pos="851"/>
          <w:tab w:val="left" w:pos="1418"/>
        </w:tabs>
        <w:spacing w:after="0"/>
        <w:rPr>
          <w:b/>
        </w:rPr>
      </w:pPr>
    </w:p>
    <w:p w14:paraId="3E5A9CBF" w14:textId="77777777" w:rsidR="007446BB" w:rsidRDefault="007446BB" w:rsidP="007446BB">
      <w:pPr>
        <w:tabs>
          <w:tab w:val="left" w:pos="851"/>
          <w:tab w:val="left" w:pos="1418"/>
        </w:tabs>
        <w:spacing w:after="0"/>
        <w:rPr>
          <w:b/>
        </w:rPr>
      </w:pPr>
    </w:p>
    <w:p w14:paraId="353C2DD8" w14:textId="77777777" w:rsidR="007446BB" w:rsidRDefault="007446BB" w:rsidP="007446BB">
      <w:pPr>
        <w:tabs>
          <w:tab w:val="left" w:pos="851"/>
          <w:tab w:val="left" w:pos="1418"/>
        </w:tabs>
        <w:spacing w:after="0"/>
        <w:rPr>
          <w:b/>
        </w:rPr>
      </w:pPr>
    </w:p>
    <w:p w14:paraId="6D408718" w14:textId="77777777" w:rsidR="00CA72D1" w:rsidRDefault="00CA72D1" w:rsidP="007446BB">
      <w:pPr>
        <w:tabs>
          <w:tab w:val="left" w:pos="851"/>
          <w:tab w:val="left" w:pos="1418"/>
        </w:tabs>
        <w:spacing w:after="0"/>
        <w:rPr>
          <w:b/>
        </w:rPr>
      </w:pPr>
    </w:p>
    <w:p w14:paraId="5F8BA1F9" w14:textId="77777777" w:rsidR="00CA72D1" w:rsidRDefault="00CA72D1" w:rsidP="007446BB">
      <w:pPr>
        <w:tabs>
          <w:tab w:val="left" w:pos="851"/>
          <w:tab w:val="left" w:pos="1418"/>
        </w:tabs>
        <w:spacing w:after="0"/>
        <w:rPr>
          <w:b/>
        </w:rPr>
      </w:pPr>
    </w:p>
    <w:p w14:paraId="0AD1A9D9" w14:textId="77777777" w:rsidR="00CA72D1" w:rsidRDefault="00CA72D1" w:rsidP="007446BB">
      <w:pPr>
        <w:tabs>
          <w:tab w:val="left" w:pos="851"/>
          <w:tab w:val="left" w:pos="1418"/>
        </w:tabs>
        <w:spacing w:after="0"/>
        <w:rPr>
          <w:b/>
        </w:rPr>
      </w:pPr>
    </w:p>
    <w:p w14:paraId="286D9BE3" w14:textId="77777777" w:rsidR="00CA72D1" w:rsidRDefault="00CA72D1" w:rsidP="007446BB">
      <w:pPr>
        <w:tabs>
          <w:tab w:val="left" w:pos="851"/>
          <w:tab w:val="left" w:pos="1418"/>
        </w:tabs>
        <w:spacing w:after="0"/>
        <w:rPr>
          <w:b/>
        </w:rPr>
      </w:pPr>
    </w:p>
    <w:p w14:paraId="100213D5" w14:textId="77777777" w:rsidR="00CA72D1" w:rsidRDefault="00CA72D1" w:rsidP="007446BB">
      <w:pPr>
        <w:tabs>
          <w:tab w:val="left" w:pos="851"/>
          <w:tab w:val="left" w:pos="1418"/>
        </w:tabs>
        <w:spacing w:after="0"/>
        <w:rPr>
          <w:b/>
        </w:rPr>
      </w:pPr>
    </w:p>
    <w:p w14:paraId="210FEF03" w14:textId="3AEFA354" w:rsidR="00510203" w:rsidRDefault="00510203" w:rsidP="00510203">
      <w:pPr>
        <w:rPr>
          <w:b/>
        </w:rPr>
      </w:pPr>
    </w:p>
    <w:p w14:paraId="1659AB8E" w14:textId="77777777" w:rsidR="00E118FC" w:rsidRDefault="00E118FC" w:rsidP="00510203">
      <w:pPr>
        <w:rPr>
          <w:b/>
        </w:rPr>
      </w:pPr>
    </w:p>
    <w:p w14:paraId="0917187E" w14:textId="167B5B04" w:rsidR="00E118FC" w:rsidRPr="00E022DD" w:rsidRDefault="00E118FC" w:rsidP="00510203">
      <w:pPr>
        <w:rPr>
          <w:rFonts w:cs="Arial"/>
          <w:b/>
          <w:u w:val="single"/>
        </w:rPr>
      </w:pPr>
      <w:r>
        <w:rPr>
          <w:b/>
        </w:rPr>
        <w:lastRenderedPageBreak/>
        <w:t>Budget Monitoring 2017/18 Summary Table</w:t>
      </w:r>
    </w:p>
    <w:tbl>
      <w:tblPr>
        <w:tblW w:w="10407" w:type="dxa"/>
        <w:tblInd w:w="-742" w:type="dxa"/>
        <w:tblLook w:val="04A0" w:firstRow="1" w:lastRow="0" w:firstColumn="1" w:lastColumn="0" w:noHBand="0" w:noVBand="1"/>
      </w:tblPr>
      <w:tblGrid>
        <w:gridCol w:w="708"/>
        <w:gridCol w:w="3503"/>
        <w:gridCol w:w="1220"/>
        <w:gridCol w:w="1436"/>
        <w:gridCol w:w="1180"/>
        <w:gridCol w:w="1180"/>
        <w:gridCol w:w="1180"/>
      </w:tblGrid>
      <w:tr w:rsidR="00510203" w:rsidRPr="00D4416A" w14:paraId="333D7630" w14:textId="77777777" w:rsidTr="00E118FC">
        <w:trPr>
          <w:trHeight w:val="1403"/>
        </w:trPr>
        <w:tc>
          <w:tcPr>
            <w:tcW w:w="708" w:type="dxa"/>
            <w:tcBorders>
              <w:top w:val="single" w:sz="4" w:space="0" w:color="auto"/>
              <w:left w:val="single" w:sz="4" w:space="0" w:color="auto"/>
              <w:bottom w:val="nil"/>
              <w:right w:val="single" w:sz="4" w:space="0" w:color="auto"/>
            </w:tcBorders>
            <w:shd w:val="clear" w:color="000000" w:fill="D9D9D9"/>
            <w:vAlign w:val="bottom"/>
            <w:hideMark/>
          </w:tcPr>
          <w:p w14:paraId="7B511908"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Ref</w:t>
            </w:r>
          </w:p>
        </w:tc>
        <w:tc>
          <w:tcPr>
            <w:tcW w:w="3503" w:type="dxa"/>
            <w:tcBorders>
              <w:top w:val="single" w:sz="4" w:space="0" w:color="auto"/>
              <w:left w:val="nil"/>
              <w:bottom w:val="nil"/>
              <w:right w:val="single" w:sz="4" w:space="0" w:color="auto"/>
            </w:tcBorders>
            <w:shd w:val="clear" w:color="000000" w:fill="D9D9D9"/>
            <w:vAlign w:val="bottom"/>
            <w:hideMark/>
          </w:tcPr>
          <w:p w14:paraId="713A4B07"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Service Area</w:t>
            </w:r>
          </w:p>
        </w:tc>
        <w:tc>
          <w:tcPr>
            <w:tcW w:w="1220" w:type="dxa"/>
            <w:tcBorders>
              <w:top w:val="single" w:sz="4" w:space="0" w:color="auto"/>
              <w:left w:val="nil"/>
              <w:bottom w:val="nil"/>
              <w:right w:val="single" w:sz="4" w:space="0" w:color="auto"/>
            </w:tcBorders>
            <w:shd w:val="clear" w:color="000000" w:fill="D9D9D9"/>
            <w:vAlign w:val="bottom"/>
            <w:hideMark/>
          </w:tcPr>
          <w:p w14:paraId="645D46F3"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Approved Budget</w:t>
            </w:r>
          </w:p>
        </w:tc>
        <w:tc>
          <w:tcPr>
            <w:tcW w:w="1436" w:type="dxa"/>
            <w:tcBorders>
              <w:top w:val="single" w:sz="4" w:space="0" w:color="auto"/>
              <w:left w:val="nil"/>
              <w:bottom w:val="nil"/>
              <w:right w:val="single" w:sz="4" w:space="0" w:color="auto"/>
            </w:tcBorders>
            <w:shd w:val="clear" w:color="000000" w:fill="D9D9D9"/>
            <w:vAlign w:val="bottom"/>
            <w:hideMark/>
          </w:tcPr>
          <w:p w14:paraId="6977B868"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Current Cabinet Forecast Qtr 3</w:t>
            </w:r>
          </w:p>
        </w:tc>
        <w:tc>
          <w:tcPr>
            <w:tcW w:w="1180" w:type="dxa"/>
            <w:tcBorders>
              <w:top w:val="single" w:sz="4" w:space="0" w:color="auto"/>
              <w:left w:val="nil"/>
              <w:bottom w:val="nil"/>
              <w:right w:val="single" w:sz="4" w:space="0" w:color="auto"/>
            </w:tcBorders>
            <w:shd w:val="clear" w:color="000000" w:fill="D9D9D9"/>
            <w:vAlign w:val="bottom"/>
            <w:hideMark/>
          </w:tcPr>
          <w:p w14:paraId="30EA6FB5"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Current Cabinet Forecast Variance</w:t>
            </w:r>
          </w:p>
        </w:tc>
        <w:tc>
          <w:tcPr>
            <w:tcW w:w="1180" w:type="dxa"/>
            <w:tcBorders>
              <w:top w:val="single" w:sz="4" w:space="0" w:color="auto"/>
              <w:left w:val="nil"/>
              <w:bottom w:val="nil"/>
              <w:right w:val="single" w:sz="4" w:space="0" w:color="auto"/>
            </w:tcBorders>
            <w:shd w:val="clear" w:color="000000" w:fill="D9D9D9"/>
            <w:vAlign w:val="bottom"/>
            <w:hideMark/>
          </w:tcPr>
          <w:p w14:paraId="2CCC4B3F"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Previous Period Forecast Variance Qtr 2</w:t>
            </w:r>
          </w:p>
        </w:tc>
        <w:tc>
          <w:tcPr>
            <w:tcW w:w="1180" w:type="dxa"/>
            <w:tcBorders>
              <w:top w:val="single" w:sz="4" w:space="0" w:color="auto"/>
              <w:left w:val="nil"/>
              <w:bottom w:val="nil"/>
              <w:right w:val="single" w:sz="4" w:space="0" w:color="auto"/>
            </w:tcBorders>
            <w:shd w:val="clear" w:color="000000" w:fill="D9D9D9"/>
            <w:vAlign w:val="bottom"/>
            <w:hideMark/>
          </w:tcPr>
          <w:p w14:paraId="346F7738"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Current Qtr 3 Forecast Variance</w:t>
            </w:r>
          </w:p>
        </w:tc>
      </w:tr>
      <w:tr w:rsidR="00510203" w:rsidRPr="00D4416A" w14:paraId="0D18CB04" w14:textId="77777777" w:rsidTr="00E118FC">
        <w:trPr>
          <w:trHeight w:val="562"/>
        </w:trPr>
        <w:tc>
          <w:tcPr>
            <w:tcW w:w="708" w:type="dxa"/>
            <w:tcBorders>
              <w:top w:val="nil"/>
              <w:left w:val="single" w:sz="4" w:space="0" w:color="auto"/>
              <w:bottom w:val="single" w:sz="4" w:space="0" w:color="auto"/>
              <w:right w:val="single" w:sz="4" w:space="0" w:color="auto"/>
            </w:tcBorders>
            <w:shd w:val="clear" w:color="000000" w:fill="D9D9D9"/>
            <w:vAlign w:val="bottom"/>
            <w:hideMark/>
          </w:tcPr>
          <w:p w14:paraId="57EBD6EB"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 </w:t>
            </w:r>
          </w:p>
        </w:tc>
        <w:tc>
          <w:tcPr>
            <w:tcW w:w="3503" w:type="dxa"/>
            <w:tcBorders>
              <w:top w:val="nil"/>
              <w:left w:val="nil"/>
              <w:bottom w:val="single" w:sz="4" w:space="0" w:color="auto"/>
              <w:right w:val="single" w:sz="4" w:space="0" w:color="auto"/>
            </w:tcBorders>
            <w:shd w:val="clear" w:color="000000" w:fill="D9D9D9"/>
            <w:vAlign w:val="bottom"/>
            <w:hideMark/>
          </w:tcPr>
          <w:p w14:paraId="0DA0DA27"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 </w:t>
            </w:r>
          </w:p>
        </w:tc>
        <w:tc>
          <w:tcPr>
            <w:tcW w:w="1220" w:type="dxa"/>
            <w:tcBorders>
              <w:top w:val="nil"/>
              <w:left w:val="nil"/>
              <w:bottom w:val="single" w:sz="4" w:space="0" w:color="auto"/>
              <w:right w:val="single" w:sz="4" w:space="0" w:color="auto"/>
            </w:tcBorders>
            <w:shd w:val="clear" w:color="000000" w:fill="D9D9D9"/>
            <w:vAlign w:val="bottom"/>
            <w:hideMark/>
          </w:tcPr>
          <w:p w14:paraId="6EDDC968"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£m</w:t>
            </w:r>
          </w:p>
        </w:tc>
        <w:tc>
          <w:tcPr>
            <w:tcW w:w="1436" w:type="dxa"/>
            <w:tcBorders>
              <w:top w:val="nil"/>
              <w:left w:val="nil"/>
              <w:bottom w:val="single" w:sz="4" w:space="0" w:color="auto"/>
              <w:right w:val="single" w:sz="4" w:space="0" w:color="auto"/>
            </w:tcBorders>
            <w:shd w:val="clear" w:color="000000" w:fill="D9D9D9"/>
            <w:vAlign w:val="bottom"/>
            <w:hideMark/>
          </w:tcPr>
          <w:p w14:paraId="4D84804F"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£m</w:t>
            </w:r>
          </w:p>
        </w:tc>
        <w:tc>
          <w:tcPr>
            <w:tcW w:w="1180" w:type="dxa"/>
            <w:tcBorders>
              <w:top w:val="nil"/>
              <w:left w:val="nil"/>
              <w:bottom w:val="single" w:sz="4" w:space="0" w:color="auto"/>
              <w:right w:val="single" w:sz="4" w:space="0" w:color="auto"/>
            </w:tcBorders>
            <w:shd w:val="clear" w:color="000000" w:fill="D9D9D9"/>
            <w:vAlign w:val="bottom"/>
            <w:hideMark/>
          </w:tcPr>
          <w:p w14:paraId="6F3B3555"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£m</w:t>
            </w:r>
          </w:p>
        </w:tc>
        <w:tc>
          <w:tcPr>
            <w:tcW w:w="1180" w:type="dxa"/>
            <w:tcBorders>
              <w:top w:val="nil"/>
              <w:left w:val="nil"/>
              <w:bottom w:val="single" w:sz="4" w:space="0" w:color="auto"/>
              <w:right w:val="single" w:sz="4" w:space="0" w:color="auto"/>
            </w:tcBorders>
            <w:shd w:val="clear" w:color="000000" w:fill="D9D9D9"/>
            <w:vAlign w:val="bottom"/>
            <w:hideMark/>
          </w:tcPr>
          <w:p w14:paraId="4D79E787"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£m</w:t>
            </w:r>
          </w:p>
        </w:tc>
        <w:tc>
          <w:tcPr>
            <w:tcW w:w="1180" w:type="dxa"/>
            <w:tcBorders>
              <w:top w:val="nil"/>
              <w:left w:val="nil"/>
              <w:bottom w:val="single" w:sz="4" w:space="0" w:color="auto"/>
              <w:right w:val="single" w:sz="4" w:space="0" w:color="auto"/>
            </w:tcBorders>
            <w:shd w:val="clear" w:color="000000" w:fill="D9D9D9"/>
            <w:vAlign w:val="bottom"/>
            <w:hideMark/>
          </w:tcPr>
          <w:p w14:paraId="58B40460"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w:t>
            </w:r>
          </w:p>
        </w:tc>
      </w:tr>
      <w:tr w:rsidR="00510203" w:rsidRPr="00D4416A" w14:paraId="62DAED92" w14:textId="77777777" w:rsidTr="00E118FC">
        <w:trPr>
          <w:trHeight w:val="562"/>
        </w:trPr>
        <w:tc>
          <w:tcPr>
            <w:tcW w:w="708" w:type="dxa"/>
            <w:tcBorders>
              <w:top w:val="nil"/>
              <w:left w:val="single" w:sz="4" w:space="0" w:color="auto"/>
              <w:bottom w:val="single" w:sz="4" w:space="0" w:color="auto"/>
              <w:right w:val="single" w:sz="4" w:space="0" w:color="auto"/>
            </w:tcBorders>
            <w:shd w:val="clear" w:color="000000" w:fill="FFFFFF"/>
            <w:noWrap/>
            <w:hideMark/>
          </w:tcPr>
          <w:p w14:paraId="0B3120C3"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3.1</w:t>
            </w:r>
          </w:p>
        </w:tc>
        <w:tc>
          <w:tcPr>
            <w:tcW w:w="3503" w:type="dxa"/>
            <w:tcBorders>
              <w:top w:val="nil"/>
              <w:left w:val="nil"/>
              <w:bottom w:val="single" w:sz="4" w:space="0" w:color="auto"/>
              <w:right w:val="single" w:sz="4" w:space="0" w:color="auto"/>
            </w:tcBorders>
            <w:shd w:val="clear" w:color="000000" w:fill="FFFFFF"/>
            <w:hideMark/>
          </w:tcPr>
          <w:p w14:paraId="76C2972D" w14:textId="77777777" w:rsidR="00510203" w:rsidRPr="00D4416A" w:rsidRDefault="00510203" w:rsidP="00E118FC">
            <w:pPr>
              <w:spacing w:after="0"/>
              <w:rPr>
                <w:rFonts w:eastAsia="Times New Roman" w:cs="Arial"/>
                <w:sz w:val="20"/>
                <w:szCs w:val="20"/>
                <w:lang w:eastAsia="en-GB"/>
              </w:rPr>
            </w:pPr>
            <w:r w:rsidRPr="00D4416A">
              <w:rPr>
                <w:rFonts w:eastAsia="Times New Roman" w:cs="Arial"/>
                <w:sz w:val="20"/>
                <w:szCs w:val="20"/>
                <w:lang w:eastAsia="en-GB"/>
              </w:rPr>
              <w:t>ADULT SERVICES</w:t>
            </w:r>
          </w:p>
        </w:tc>
        <w:tc>
          <w:tcPr>
            <w:tcW w:w="1220" w:type="dxa"/>
            <w:tcBorders>
              <w:top w:val="nil"/>
              <w:left w:val="nil"/>
              <w:bottom w:val="single" w:sz="4" w:space="0" w:color="auto"/>
              <w:right w:val="single" w:sz="4" w:space="0" w:color="auto"/>
            </w:tcBorders>
            <w:shd w:val="clear" w:color="auto" w:fill="auto"/>
            <w:vAlign w:val="center"/>
            <w:hideMark/>
          </w:tcPr>
          <w:p w14:paraId="222E9E59"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327.368 </w:t>
            </w:r>
          </w:p>
        </w:tc>
        <w:tc>
          <w:tcPr>
            <w:tcW w:w="1436" w:type="dxa"/>
            <w:tcBorders>
              <w:top w:val="nil"/>
              <w:left w:val="nil"/>
              <w:bottom w:val="single" w:sz="4" w:space="0" w:color="auto"/>
              <w:right w:val="single" w:sz="4" w:space="0" w:color="auto"/>
            </w:tcBorders>
            <w:shd w:val="clear" w:color="000000" w:fill="FFFFFF"/>
            <w:vAlign w:val="center"/>
            <w:hideMark/>
          </w:tcPr>
          <w:p w14:paraId="717D7FB1"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324.618 </w:t>
            </w:r>
          </w:p>
        </w:tc>
        <w:tc>
          <w:tcPr>
            <w:tcW w:w="1180" w:type="dxa"/>
            <w:tcBorders>
              <w:top w:val="nil"/>
              <w:left w:val="nil"/>
              <w:bottom w:val="single" w:sz="4" w:space="0" w:color="auto"/>
              <w:right w:val="single" w:sz="4" w:space="0" w:color="auto"/>
            </w:tcBorders>
            <w:shd w:val="clear" w:color="000000" w:fill="FFFFFF"/>
            <w:vAlign w:val="center"/>
            <w:hideMark/>
          </w:tcPr>
          <w:p w14:paraId="76988E73"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-2.750 </w:t>
            </w:r>
          </w:p>
        </w:tc>
        <w:tc>
          <w:tcPr>
            <w:tcW w:w="1180" w:type="dxa"/>
            <w:tcBorders>
              <w:top w:val="nil"/>
              <w:left w:val="nil"/>
              <w:bottom w:val="single" w:sz="4" w:space="0" w:color="auto"/>
              <w:right w:val="single" w:sz="4" w:space="0" w:color="auto"/>
            </w:tcBorders>
            <w:shd w:val="clear" w:color="000000" w:fill="FFFFFF"/>
            <w:vAlign w:val="center"/>
            <w:hideMark/>
          </w:tcPr>
          <w:p w14:paraId="559DDA5F"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-1.581 </w:t>
            </w:r>
          </w:p>
        </w:tc>
        <w:tc>
          <w:tcPr>
            <w:tcW w:w="1180" w:type="dxa"/>
            <w:tcBorders>
              <w:top w:val="nil"/>
              <w:left w:val="nil"/>
              <w:bottom w:val="single" w:sz="4" w:space="0" w:color="auto"/>
              <w:right w:val="single" w:sz="4" w:space="0" w:color="auto"/>
            </w:tcBorders>
            <w:shd w:val="clear" w:color="000000" w:fill="FFFFFF"/>
            <w:vAlign w:val="center"/>
            <w:hideMark/>
          </w:tcPr>
          <w:p w14:paraId="23CF4D73"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-0.84%</w:t>
            </w:r>
          </w:p>
        </w:tc>
      </w:tr>
      <w:tr w:rsidR="00510203" w:rsidRPr="00D4416A" w14:paraId="1B50D2D8" w14:textId="77777777" w:rsidTr="00E118FC">
        <w:trPr>
          <w:trHeight w:val="562"/>
        </w:trPr>
        <w:tc>
          <w:tcPr>
            <w:tcW w:w="708" w:type="dxa"/>
            <w:tcBorders>
              <w:top w:val="nil"/>
              <w:left w:val="single" w:sz="4" w:space="0" w:color="auto"/>
              <w:bottom w:val="single" w:sz="4" w:space="0" w:color="auto"/>
              <w:right w:val="single" w:sz="4" w:space="0" w:color="auto"/>
            </w:tcBorders>
            <w:shd w:val="clear" w:color="000000" w:fill="FFFFFF"/>
            <w:noWrap/>
            <w:hideMark/>
          </w:tcPr>
          <w:p w14:paraId="03D8EE1B"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3.2</w:t>
            </w:r>
          </w:p>
        </w:tc>
        <w:tc>
          <w:tcPr>
            <w:tcW w:w="3503" w:type="dxa"/>
            <w:tcBorders>
              <w:top w:val="nil"/>
              <w:left w:val="nil"/>
              <w:bottom w:val="single" w:sz="4" w:space="0" w:color="auto"/>
              <w:right w:val="single" w:sz="4" w:space="0" w:color="auto"/>
            </w:tcBorders>
            <w:shd w:val="clear" w:color="000000" w:fill="FFFFFF"/>
            <w:hideMark/>
          </w:tcPr>
          <w:p w14:paraId="34334326" w14:textId="77777777" w:rsidR="00510203" w:rsidRPr="00D4416A" w:rsidRDefault="00510203" w:rsidP="00E118FC">
            <w:pPr>
              <w:spacing w:after="0"/>
              <w:rPr>
                <w:rFonts w:eastAsia="Times New Roman" w:cs="Arial"/>
                <w:sz w:val="20"/>
                <w:szCs w:val="20"/>
                <w:lang w:eastAsia="en-GB"/>
              </w:rPr>
            </w:pPr>
            <w:r w:rsidRPr="00D4416A">
              <w:rPr>
                <w:rFonts w:eastAsia="Times New Roman" w:cs="Arial"/>
                <w:sz w:val="20"/>
                <w:szCs w:val="20"/>
                <w:lang w:eastAsia="en-GB"/>
              </w:rPr>
              <w:t>CHILDREN'S SERVICES</w:t>
            </w:r>
          </w:p>
        </w:tc>
        <w:tc>
          <w:tcPr>
            <w:tcW w:w="1220" w:type="dxa"/>
            <w:tcBorders>
              <w:top w:val="nil"/>
              <w:left w:val="nil"/>
              <w:bottom w:val="single" w:sz="4" w:space="0" w:color="auto"/>
              <w:right w:val="single" w:sz="4" w:space="0" w:color="auto"/>
            </w:tcBorders>
            <w:shd w:val="clear" w:color="auto" w:fill="auto"/>
            <w:vAlign w:val="center"/>
            <w:hideMark/>
          </w:tcPr>
          <w:p w14:paraId="2DA3CB44"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146.519 </w:t>
            </w:r>
          </w:p>
        </w:tc>
        <w:tc>
          <w:tcPr>
            <w:tcW w:w="1436" w:type="dxa"/>
            <w:tcBorders>
              <w:top w:val="nil"/>
              <w:left w:val="nil"/>
              <w:bottom w:val="single" w:sz="4" w:space="0" w:color="auto"/>
              <w:right w:val="single" w:sz="4" w:space="0" w:color="auto"/>
            </w:tcBorders>
            <w:shd w:val="clear" w:color="000000" w:fill="FFFFFF"/>
            <w:vAlign w:val="center"/>
            <w:hideMark/>
          </w:tcPr>
          <w:p w14:paraId="7FB9CDF6"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149.003 </w:t>
            </w:r>
          </w:p>
        </w:tc>
        <w:tc>
          <w:tcPr>
            <w:tcW w:w="1180" w:type="dxa"/>
            <w:tcBorders>
              <w:top w:val="nil"/>
              <w:left w:val="nil"/>
              <w:bottom w:val="single" w:sz="4" w:space="0" w:color="auto"/>
              <w:right w:val="single" w:sz="4" w:space="0" w:color="auto"/>
            </w:tcBorders>
            <w:shd w:val="clear" w:color="000000" w:fill="FFFFFF"/>
            <w:vAlign w:val="center"/>
            <w:hideMark/>
          </w:tcPr>
          <w:p w14:paraId="161F438A"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2.484 </w:t>
            </w:r>
          </w:p>
        </w:tc>
        <w:tc>
          <w:tcPr>
            <w:tcW w:w="1180" w:type="dxa"/>
            <w:tcBorders>
              <w:top w:val="nil"/>
              <w:left w:val="nil"/>
              <w:bottom w:val="single" w:sz="4" w:space="0" w:color="auto"/>
              <w:right w:val="single" w:sz="4" w:space="0" w:color="auto"/>
            </w:tcBorders>
            <w:shd w:val="clear" w:color="000000" w:fill="FFFFFF"/>
            <w:vAlign w:val="center"/>
            <w:hideMark/>
          </w:tcPr>
          <w:p w14:paraId="486ED1A2"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2.220 </w:t>
            </w:r>
          </w:p>
        </w:tc>
        <w:tc>
          <w:tcPr>
            <w:tcW w:w="1180" w:type="dxa"/>
            <w:tcBorders>
              <w:top w:val="nil"/>
              <w:left w:val="nil"/>
              <w:bottom w:val="single" w:sz="4" w:space="0" w:color="auto"/>
              <w:right w:val="single" w:sz="4" w:space="0" w:color="auto"/>
            </w:tcBorders>
            <w:shd w:val="clear" w:color="000000" w:fill="FFFFFF"/>
            <w:vAlign w:val="center"/>
            <w:hideMark/>
          </w:tcPr>
          <w:p w14:paraId="5E6D1F26"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1.70%</w:t>
            </w:r>
          </w:p>
        </w:tc>
      </w:tr>
      <w:tr w:rsidR="00510203" w:rsidRPr="00D4416A" w14:paraId="7459AF2B" w14:textId="77777777" w:rsidTr="00E118FC">
        <w:trPr>
          <w:trHeight w:val="562"/>
        </w:trPr>
        <w:tc>
          <w:tcPr>
            <w:tcW w:w="708" w:type="dxa"/>
            <w:tcBorders>
              <w:top w:val="nil"/>
              <w:left w:val="single" w:sz="4" w:space="0" w:color="auto"/>
              <w:bottom w:val="single" w:sz="4" w:space="0" w:color="auto"/>
              <w:right w:val="single" w:sz="4" w:space="0" w:color="auto"/>
            </w:tcBorders>
            <w:shd w:val="clear" w:color="000000" w:fill="FFFFFF"/>
            <w:noWrap/>
            <w:hideMark/>
          </w:tcPr>
          <w:p w14:paraId="06B55A60"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3.3</w:t>
            </w:r>
          </w:p>
        </w:tc>
        <w:tc>
          <w:tcPr>
            <w:tcW w:w="3503" w:type="dxa"/>
            <w:tcBorders>
              <w:top w:val="nil"/>
              <w:left w:val="nil"/>
              <w:bottom w:val="single" w:sz="4" w:space="0" w:color="auto"/>
              <w:right w:val="single" w:sz="4" w:space="0" w:color="auto"/>
            </w:tcBorders>
            <w:shd w:val="clear" w:color="000000" w:fill="FFFFFF"/>
            <w:hideMark/>
          </w:tcPr>
          <w:p w14:paraId="7658C74C" w14:textId="77777777" w:rsidR="00510203" w:rsidRPr="00D4416A" w:rsidRDefault="00510203" w:rsidP="00E118FC">
            <w:pPr>
              <w:spacing w:after="0"/>
              <w:rPr>
                <w:rFonts w:eastAsia="Times New Roman" w:cs="Arial"/>
                <w:sz w:val="20"/>
                <w:szCs w:val="20"/>
                <w:lang w:eastAsia="en-GB"/>
              </w:rPr>
            </w:pPr>
            <w:r w:rsidRPr="00D4416A">
              <w:rPr>
                <w:rFonts w:eastAsia="Times New Roman" w:cs="Arial"/>
                <w:sz w:val="20"/>
                <w:szCs w:val="20"/>
                <w:lang w:eastAsia="en-GB"/>
              </w:rPr>
              <w:t>COMMUNITY SERVICES</w:t>
            </w:r>
          </w:p>
        </w:tc>
        <w:tc>
          <w:tcPr>
            <w:tcW w:w="1220" w:type="dxa"/>
            <w:tcBorders>
              <w:top w:val="nil"/>
              <w:left w:val="nil"/>
              <w:bottom w:val="single" w:sz="4" w:space="0" w:color="auto"/>
              <w:right w:val="single" w:sz="4" w:space="0" w:color="auto"/>
            </w:tcBorders>
            <w:shd w:val="clear" w:color="000000" w:fill="FFFFFF"/>
            <w:vAlign w:val="center"/>
            <w:hideMark/>
          </w:tcPr>
          <w:p w14:paraId="46E2B82D"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133.560 </w:t>
            </w:r>
          </w:p>
        </w:tc>
        <w:tc>
          <w:tcPr>
            <w:tcW w:w="1436" w:type="dxa"/>
            <w:tcBorders>
              <w:top w:val="nil"/>
              <w:left w:val="nil"/>
              <w:bottom w:val="single" w:sz="4" w:space="0" w:color="auto"/>
              <w:right w:val="single" w:sz="4" w:space="0" w:color="auto"/>
            </w:tcBorders>
            <w:shd w:val="clear" w:color="000000" w:fill="FFFFFF"/>
            <w:vAlign w:val="center"/>
            <w:hideMark/>
          </w:tcPr>
          <w:p w14:paraId="02C08313" w14:textId="27356EDA" w:rsidR="00510203" w:rsidRPr="00D4416A" w:rsidRDefault="007C37A7" w:rsidP="007C37A7">
            <w:pPr>
              <w:spacing w:after="0"/>
              <w:jc w:val="right"/>
              <w:rPr>
                <w:rFonts w:eastAsia="Times New Roman" w:cs="Arial"/>
                <w:sz w:val="20"/>
                <w:szCs w:val="20"/>
                <w:lang w:eastAsia="en-GB"/>
              </w:rPr>
            </w:pPr>
            <w:r>
              <w:rPr>
                <w:rFonts w:eastAsia="Times New Roman" w:cs="Arial"/>
                <w:sz w:val="20"/>
                <w:szCs w:val="20"/>
                <w:lang w:eastAsia="en-GB"/>
              </w:rPr>
              <w:t>129.444</w:t>
            </w:r>
            <w:r w:rsidR="00510203" w:rsidRPr="00D4416A">
              <w:rPr>
                <w:rFonts w:eastAsia="Times New Roman" w:cs="Arial"/>
                <w:sz w:val="20"/>
                <w:szCs w:val="20"/>
                <w:lang w:eastAsia="en-GB"/>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2E711285" w14:textId="34375657" w:rsidR="00510203" w:rsidRPr="00D4416A" w:rsidRDefault="00510203" w:rsidP="007C37A7">
            <w:pPr>
              <w:spacing w:after="0"/>
              <w:jc w:val="right"/>
              <w:rPr>
                <w:rFonts w:eastAsia="Times New Roman" w:cs="Arial"/>
                <w:sz w:val="20"/>
                <w:szCs w:val="20"/>
                <w:lang w:eastAsia="en-GB"/>
              </w:rPr>
            </w:pPr>
            <w:r w:rsidRPr="00D4416A">
              <w:rPr>
                <w:rFonts w:eastAsia="Times New Roman" w:cs="Arial"/>
                <w:sz w:val="20"/>
                <w:szCs w:val="20"/>
                <w:lang w:eastAsia="en-GB"/>
              </w:rPr>
              <w:t>-</w:t>
            </w:r>
            <w:r w:rsidR="007C37A7">
              <w:rPr>
                <w:rFonts w:eastAsia="Times New Roman" w:cs="Arial"/>
                <w:sz w:val="20"/>
                <w:szCs w:val="20"/>
                <w:lang w:eastAsia="en-GB"/>
              </w:rPr>
              <w:t>4.116</w:t>
            </w:r>
            <w:r w:rsidRPr="00D4416A">
              <w:rPr>
                <w:rFonts w:eastAsia="Times New Roman" w:cs="Arial"/>
                <w:sz w:val="20"/>
                <w:szCs w:val="20"/>
                <w:lang w:eastAsia="en-GB"/>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42E04F03"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0.928 </w:t>
            </w:r>
          </w:p>
        </w:tc>
        <w:tc>
          <w:tcPr>
            <w:tcW w:w="1180" w:type="dxa"/>
            <w:tcBorders>
              <w:top w:val="nil"/>
              <w:left w:val="nil"/>
              <w:bottom w:val="single" w:sz="4" w:space="0" w:color="auto"/>
              <w:right w:val="single" w:sz="4" w:space="0" w:color="auto"/>
            </w:tcBorders>
            <w:shd w:val="clear" w:color="000000" w:fill="FFFFFF"/>
            <w:vAlign w:val="center"/>
            <w:hideMark/>
          </w:tcPr>
          <w:p w14:paraId="3243F6A4" w14:textId="73976C23" w:rsidR="00510203" w:rsidRPr="00D4416A" w:rsidRDefault="00510203" w:rsidP="00F43840">
            <w:pPr>
              <w:spacing w:after="0"/>
              <w:jc w:val="right"/>
              <w:rPr>
                <w:rFonts w:eastAsia="Times New Roman" w:cs="Arial"/>
                <w:sz w:val="20"/>
                <w:szCs w:val="20"/>
                <w:lang w:eastAsia="en-GB"/>
              </w:rPr>
            </w:pPr>
            <w:r w:rsidRPr="00D4416A">
              <w:rPr>
                <w:rFonts w:eastAsia="Times New Roman" w:cs="Arial"/>
                <w:sz w:val="20"/>
                <w:szCs w:val="20"/>
                <w:lang w:eastAsia="en-GB"/>
              </w:rPr>
              <w:t>-</w:t>
            </w:r>
            <w:r w:rsidR="00F43840">
              <w:rPr>
                <w:rFonts w:eastAsia="Times New Roman" w:cs="Arial"/>
                <w:sz w:val="20"/>
                <w:szCs w:val="20"/>
                <w:lang w:eastAsia="en-GB"/>
              </w:rPr>
              <w:t>3.08</w:t>
            </w:r>
            <w:r w:rsidRPr="00D4416A">
              <w:rPr>
                <w:rFonts w:eastAsia="Times New Roman" w:cs="Arial"/>
                <w:sz w:val="20"/>
                <w:szCs w:val="20"/>
                <w:lang w:eastAsia="en-GB"/>
              </w:rPr>
              <w:t>%</w:t>
            </w:r>
          </w:p>
        </w:tc>
      </w:tr>
      <w:tr w:rsidR="00510203" w:rsidRPr="00D4416A" w14:paraId="259F5118" w14:textId="77777777" w:rsidTr="00E118FC">
        <w:trPr>
          <w:trHeight w:val="562"/>
        </w:trPr>
        <w:tc>
          <w:tcPr>
            <w:tcW w:w="708" w:type="dxa"/>
            <w:tcBorders>
              <w:top w:val="nil"/>
              <w:left w:val="single" w:sz="4" w:space="0" w:color="auto"/>
              <w:bottom w:val="single" w:sz="4" w:space="0" w:color="auto"/>
              <w:right w:val="single" w:sz="4" w:space="0" w:color="auto"/>
            </w:tcBorders>
            <w:shd w:val="clear" w:color="000000" w:fill="FFFFFF"/>
            <w:noWrap/>
            <w:hideMark/>
          </w:tcPr>
          <w:p w14:paraId="2FA1EA4D"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3.4</w:t>
            </w:r>
          </w:p>
        </w:tc>
        <w:tc>
          <w:tcPr>
            <w:tcW w:w="3503" w:type="dxa"/>
            <w:tcBorders>
              <w:top w:val="nil"/>
              <w:left w:val="nil"/>
              <w:bottom w:val="single" w:sz="4" w:space="0" w:color="auto"/>
              <w:right w:val="single" w:sz="4" w:space="0" w:color="auto"/>
            </w:tcBorders>
            <w:shd w:val="clear" w:color="000000" w:fill="FFFFFF"/>
            <w:hideMark/>
          </w:tcPr>
          <w:p w14:paraId="71A6522E" w14:textId="77777777" w:rsidR="00510203" w:rsidRPr="00D4416A" w:rsidRDefault="00510203" w:rsidP="00E118FC">
            <w:pPr>
              <w:spacing w:after="0"/>
              <w:rPr>
                <w:rFonts w:eastAsia="Times New Roman" w:cs="Arial"/>
                <w:sz w:val="20"/>
                <w:szCs w:val="20"/>
                <w:lang w:eastAsia="en-GB"/>
              </w:rPr>
            </w:pPr>
            <w:r w:rsidRPr="00D4416A">
              <w:rPr>
                <w:rFonts w:eastAsia="Times New Roman" w:cs="Arial"/>
                <w:sz w:val="20"/>
                <w:szCs w:val="20"/>
                <w:lang w:eastAsia="en-GB"/>
              </w:rPr>
              <w:t>PUBLIC HEALTH &amp; WELLBEING</w:t>
            </w:r>
          </w:p>
        </w:tc>
        <w:tc>
          <w:tcPr>
            <w:tcW w:w="1220" w:type="dxa"/>
            <w:tcBorders>
              <w:top w:val="nil"/>
              <w:left w:val="nil"/>
              <w:bottom w:val="single" w:sz="4" w:space="0" w:color="auto"/>
              <w:right w:val="single" w:sz="4" w:space="0" w:color="auto"/>
            </w:tcBorders>
            <w:shd w:val="clear" w:color="auto" w:fill="auto"/>
            <w:vAlign w:val="center"/>
            <w:hideMark/>
          </w:tcPr>
          <w:p w14:paraId="14AB901F"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20.192 </w:t>
            </w:r>
          </w:p>
        </w:tc>
        <w:tc>
          <w:tcPr>
            <w:tcW w:w="1436" w:type="dxa"/>
            <w:tcBorders>
              <w:top w:val="nil"/>
              <w:left w:val="nil"/>
              <w:bottom w:val="single" w:sz="4" w:space="0" w:color="auto"/>
              <w:right w:val="single" w:sz="4" w:space="0" w:color="auto"/>
            </w:tcBorders>
            <w:shd w:val="clear" w:color="auto" w:fill="auto"/>
            <w:vAlign w:val="center"/>
            <w:hideMark/>
          </w:tcPr>
          <w:p w14:paraId="14C4ADD6"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16.358 </w:t>
            </w:r>
          </w:p>
        </w:tc>
        <w:tc>
          <w:tcPr>
            <w:tcW w:w="1180" w:type="dxa"/>
            <w:tcBorders>
              <w:top w:val="nil"/>
              <w:left w:val="nil"/>
              <w:bottom w:val="single" w:sz="4" w:space="0" w:color="auto"/>
              <w:right w:val="single" w:sz="4" w:space="0" w:color="auto"/>
            </w:tcBorders>
            <w:shd w:val="clear" w:color="000000" w:fill="FFFFFF"/>
            <w:vAlign w:val="center"/>
            <w:hideMark/>
          </w:tcPr>
          <w:p w14:paraId="584DA389"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-3.834 </w:t>
            </w:r>
          </w:p>
        </w:tc>
        <w:tc>
          <w:tcPr>
            <w:tcW w:w="1180" w:type="dxa"/>
            <w:tcBorders>
              <w:top w:val="nil"/>
              <w:left w:val="nil"/>
              <w:bottom w:val="single" w:sz="4" w:space="0" w:color="auto"/>
              <w:right w:val="single" w:sz="4" w:space="0" w:color="auto"/>
            </w:tcBorders>
            <w:shd w:val="clear" w:color="000000" w:fill="FFFFFF"/>
            <w:vAlign w:val="center"/>
            <w:hideMark/>
          </w:tcPr>
          <w:p w14:paraId="3587B2D6"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-3.463 </w:t>
            </w:r>
          </w:p>
        </w:tc>
        <w:tc>
          <w:tcPr>
            <w:tcW w:w="1180" w:type="dxa"/>
            <w:tcBorders>
              <w:top w:val="nil"/>
              <w:left w:val="nil"/>
              <w:bottom w:val="single" w:sz="4" w:space="0" w:color="auto"/>
              <w:right w:val="single" w:sz="4" w:space="0" w:color="auto"/>
            </w:tcBorders>
            <w:shd w:val="clear" w:color="000000" w:fill="FFFFFF"/>
            <w:vAlign w:val="center"/>
            <w:hideMark/>
          </w:tcPr>
          <w:p w14:paraId="31E47D15"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-18.99%</w:t>
            </w:r>
          </w:p>
        </w:tc>
      </w:tr>
      <w:tr w:rsidR="00510203" w:rsidRPr="00D4416A" w14:paraId="0EFAA11F" w14:textId="77777777" w:rsidTr="00E118FC">
        <w:trPr>
          <w:trHeight w:val="562"/>
        </w:trPr>
        <w:tc>
          <w:tcPr>
            <w:tcW w:w="708" w:type="dxa"/>
            <w:tcBorders>
              <w:top w:val="nil"/>
              <w:left w:val="single" w:sz="4" w:space="0" w:color="auto"/>
              <w:bottom w:val="single" w:sz="4" w:space="0" w:color="auto"/>
              <w:right w:val="single" w:sz="4" w:space="0" w:color="auto"/>
            </w:tcBorders>
            <w:shd w:val="clear" w:color="000000" w:fill="FFFFFF"/>
            <w:noWrap/>
            <w:hideMark/>
          </w:tcPr>
          <w:p w14:paraId="6BF6BD9D"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3.5</w:t>
            </w:r>
          </w:p>
        </w:tc>
        <w:tc>
          <w:tcPr>
            <w:tcW w:w="3503" w:type="dxa"/>
            <w:tcBorders>
              <w:top w:val="nil"/>
              <w:left w:val="nil"/>
              <w:bottom w:val="single" w:sz="4" w:space="0" w:color="auto"/>
              <w:right w:val="single" w:sz="4" w:space="0" w:color="auto"/>
            </w:tcBorders>
            <w:shd w:val="clear" w:color="000000" w:fill="FFFFFF"/>
            <w:hideMark/>
          </w:tcPr>
          <w:p w14:paraId="73D51D34" w14:textId="77777777" w:rsidR="00510203" w:rsidRPr="00D4416A" w:rsidRDefault="00510203" w:rsidP="00E118FC">
            <w:pPr>
              <w:spacing w:after="0"/>
              <w:rPr>
                <w:rFonts w:eastAsia="Times New Roman" w:cs="Arial"/>
                <w:sz w:val="20"/>
                <w:szCs w:val="20"/>
                <w:lang w:eastAsia="en-GB"/>
              </w:rPr>
            </w:pPr>
            <w:r w:rsidRPr="00D4416A">
              <w:rPr>
                <w:rFonts w:eastAsia="Times New Roman" w:cs="Arial"/>
                <w:sz w:val="20"/>
                <w:szCs w:val="20"/>
                <w:lang w:eastAsia="en-GB"/>
              </w:rPr>
              <w:t>DEVELOPMENT AND CORPORATE SERVICES</w:t>
            </w:r>
          </w:p>
        </w:tc>
        <w:tc>
          <w:tcPr>
            <w:tcW w:w="1220" w:type="dxa"/>
            <w:tcBorders>
              <w:top w:val="nil"/>
              <w:left w:val="nil"/>
              <w:bottom w:val="single" w:sz="4" w:space="0" w:color="auto"/>
              <w:right w:val="single" w:sz="4" w:space="0" w:color="auto"/>
            </w:tcBorders>
            <w:shd w:val="clear" w:color="auto" w:fill="auto"/>
            <w:vAlign w:val="center"/>
            <w:hideMark/>
          </w:tcPr>
          <w:p w14:paraId="51CE46C1"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42.831 </w:t>
            </w:r>
          </w:p>
        </w:tc>
        <w:tc>
          <w:tcPr>
            <w:tcW w:w="1436" w:type="dxa"/>
            <w:tcBorders>
              <w:top w:val="nil"/>
              <w:left w:val="nil"/>
              <w:bottom w:val="single" w:sz="4" w:space="0" w:color="auto"/>
              <w:right w:val="single" w:sz="4" w:space="0" w:color="auto"/>
            </w:tcBorders>
            <w:shd w:val="clear" w:color="000000" w:fill="FFFFFF"/>
            <w:vAlign w:val="center"/>
            <w:hideMark/>
          </w:tcPr>
          <w:p w14:paraId="717D457C"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45.161 </w:t>
            </w:r>
          </w:p>
        </w:tc>
        <w:tc>
          <w:tcPr>
            <w:tcW w:w="1180" w:type="dxa"/>
            <w:tcBorders>
              <w:top w:val="nil"/>
              <w:left w:val="nil"/>
              <w:bottom w:val="single" w:sz="4" w:space="0" w:color="auto"/>
              <w:right w:val="single" w:sz="4" w:space="0" w:color="auto"/>
            </w:tcBorders>
            <w:shd w:val="clear" w:color="000000" w:fill="FFFFFF"/>
            <w:vAlign w:val="center"/>
            <w:hideMark/>
          </w:tcPr>
          <w:p w14:paraId="6DDF8B0C"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2.330 </w:t>
            </w:r>
          </w:p>
        </w:tc>
        <w:tc>
          <w:tcPr>
            <w:tcW w:w="1180" w:type="dxa"/>
            <w:tcBorders>
              <w:top w:val="nil"/>
              <w:left w:val="nil"/>
              <w:bottom w:val="single" w:sz="4" w:space="0" w:color="auto"/>
              <w:right w:val="single" w:sz="4" w:space="0" w:color="auto"/>
            </w:tcBorders>
            <w:shd w:val="clear" w:color="000000" w:fill="FFFFFF"/>
            <w:vAlign w:val="center"/>
            <w:hideMark/>
          </w:tcPr>
          <w:p w14:paraId="33E645DE"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2.583 </w:t>
            </w:r>
          </w:p>
        </w:tc>
        <w:tc>
          <w:tcPr>
            <w:tcW w:w="1180" w:type="dxa"/>
            <w:tcBorders>
              <w:top w:val="nil"/>
              <w:left w:val="nil"/>
              <w:bottom w:val="single" w:sz="4" w:space="0" w:color="auto"/>
              <w:right w:val="single" w:sz="4" w:space="0" w:color="auto"/>
            </w:tcBorders>
            <w:shd w:val="clear" w:color="000000" w:fill="FFFFFF"/>
            <w:vAlign w:val="center"/>
            <w:hideMark/>
          </w:tcPr>
          <w:p w14:paraId="24132EE4"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5.44%</w:t>
            </w:r>
          </w:p>
        </w:tc>
      </w:tr>
      <w:tr w:rsidR="00510203" w:rsidRPr="00D4416A" w14:paraId="17DC807B" w14:textId="77777777" w:rsidTr="00E118FC">
        <w:trPr>
          <w:trHeight w:val="562"/>
        </w:trPr>
        <w:tc>
          <w:tcPr>
            <w:tcW w:w="708" w:type="dxa"/>
            <w:tcBorders>
              <w:top w:val="nil"/>
              <w:left w:val="single" w:sz="4" w:space="0" w:color="auto"/>
              <w:bottom w:val="single" w:sz="4" w:space="0" w:color="auto"/>
              <w:right w:val="single" w:sz="4" w:space="0" w:color="auto"/>
            </w:tcBorders>
            <w:shd w:val="clear" w:color="000000" w:fill="FFFFFF"/>
            <w:noWrap/>
            <w:hideMark/>
          </w:tcPr>
          <w:p w14:paraId="4003CFE5"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3.6</w:t>
            </w:r>
          </w:p>
        </w:tc>
        <w:tc>
          <w:tcPr>
            <w:tcW w:w="3503" w:type="dxa"/>
            <w:tcBorders>
              <w:top w:val="nil"/>
              <w:left w:val="nil"/>
              <w:bottom w:val="single" w:sz="4" w:space="0" w:color="auto"/>
              <w:right w:val="single" w:sz="4" w:space="0" w:color="auto"/>
            </w:tcBorders>
            <w:shd w:val="clear" w:color="000000" w:fill="FFFFFF"/>
            <w:hideMark/>
          </w:tcPr>
          <w:p w14:paraId="6D4B4F6B" w14:textId="77777777" w:rsidR="00510203" w:rsidRPr="00D4416A" w:rsidRDefault="00510203" w:rsidP="00E118FC">
            <w:pPr>
              <w:spacing w:after="0"/>
              <w:rPr>
                <w:rFonts w:eastAsia="Times New Roman" w:cs="Arial"/>
                <w:sz w:val="20"/>
                <w:szCs w:val="20"/>
                <w:lang w:eastAsia="en-GB"/>
              </w:rPr>
            </w:pPr>
            <w:r w:rsidRPr="00D4416A">
              <w:rPr>
                <w:rFonts w:eastAsia="Times New Roman" w:cs="Arial"/>
                <w:sz w:val="20"/>
                <w:szCs w:val="20"/>
                <w:lang w:eastAsia="en-GB"/>
              </w:rPr>
              <w:t>COMMISSIONING</w:t>
            </w:r>
          </w:p>
        </w:tc>
        <w:tc>
          <w:tcPr>
            <w:tcW w:w="1220" w:type="dxa"/>
            <w:tcBorders>
              <w:top w:val="nil"/>
              <w:left w:val="nil"/>
              <w:bottom w:val="single" w:sz="4" w:space="0" w:color="auto"/>
              <w:right w:val="single" w:sz="4" w:space="0" w:color="auto"/>
            </w:tcBorders>
            <w:shd w:val="clear" w:color="000000" w:fill="FFFFFF"/>
            <w:vAlign w:val="center"/>
            <w:hideMark/>
          </w:tcPr>
          <w:p w14:paraId="7D32A3CB"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40.821 </w:t>
            </w:r>
          </w:p>
        </w:tc>
        <w:tc>
          <w:tcPr>
            <w:tcW w:w="1436" w:type="dxa"/>
            <w:tcBorders>
              <w:top w:val="nil"/>
              <w:left w:val="nil"/>
              <w:bottom w:val="single" w:sz="4" w:space="0" w:color="auto"/>
              <w:right w:val="single" w:sz="4" w:space="0" w:color="auto"/>
            </w:tcBorders>
            <w:shd w:val="clear" w:color="000000" w:fill="FFFFFF"/>
            <w:vAlign w:val="center"/>
            <w:hideMark/>
          </w:tcPr>
          <w:p w14:paraId="1AC2A08E" w14:textId="61A064EE" w:rsidR="00510203" w:rsidRPr="00D4416A" w:rsidRDefault="00510203" w:rsidP="007C37A7">
            <w:pPr>
              <w:spacing w:after="0"/>
              <w:jc w:val="right"/>
              <w:rPr>
                <w:rFonts w:eastAsia="Times New Roman" w:cs="Arial"/>
                <w:sz w:val="20"/>
                <w:szCs w:val="20"/>
                <w:lang w:eastAsia="en-GB"/>
              </w:rPr>
            </w:pPr>
            <w:r w:rsidRPr="00D4416A">
              <w:rPr>
                <w:rFonts w:eastAsia="Times New Roman" w:cs="Arial"/>
                <w:sz w:val="20"/>
                <w:szCs w:val="20"/>
                <w:lang w:eastAsia="en-GB"/>
              </w:rPr>
              <w:t>38.</w:t>
            </w:r>
            <w:r w:rsidR="007C37A7">
              <w:rPr>
                <w:rFonts w:eastAsia="Times New Roman" w:cs="Arial"/>
                <w:sz w:val="20"/>
                <w:szCs w:val="20"/>
                <w:lang w:eastAsia="en-GB"/>
              </w:rPr>
              <w:t>365</w:t>
            </w:r>
            <w:r w:rsidRPr="00D4416A">
              <w:rPr>
                <w:rFonts w:eastAsia="Times New Roman" w:cs="Arial"/>
                <w:sz w:val="20"/>
                <w:szCs w:val="20"/>
                <w:lang w:eastAsia="en-GB"/>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37961A2A" w14:textId="334F544B" w:rsidR="00510203" w:rsidRPr="00D4416A" w:rsidRDefault="00510203" w:rsidP="007C37A7">
            <w:pPr>
              <w:spacing w:after="0"/>
              <w:jc w:val="right"/>
              <w:rPr>
                <w:rFonts w:eastAsia="Times New Roman" w:cs="Arial"/>
                <w:sz w:val="20"/>
                <w:szCs w:val="20"/>
                <w:lang w:eastAsia="en-GB"/>
              </w:rPr>
            </w:pPr>
            <w:r w:rsidRPr="00D4416A">
              <w:rPr>
                <w:rFonts w:eastAsia="Times New Roman" w:cs="Arial"/>
                <w:sz w:val="20"/>
                <w:szCs w:val="20"/>
                <w:lang w:eastAsia="en-GB"/>
              </w:rPr>
              <w:t>-2.</w:t>
            </w:r>
            <w:r w:rsidR="007C37A7">
              <w:rPr>
                <w:rFonts w:eastAsia="Times New Roman" w:cs="Arial"/>
                <w:sz w:val="20"/>
                <w:szCs w:val="20"/>
                <w:lang w:eastAsia="en-GB"/>
              </w:rPr>
              <w:t>457</w:t>
            </w:r>
            <w:r w:rsidRPr="00D4416A">
              <w:rPr>
                <w:rFonts w:eastAsia="Times New Roman" w:cs="Arial"/>
                <w:sz w:val="20"/>
                <w:szCs w:val="20"/>
                <w:lang w:eastAsia="en-GB"/>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1476880A"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-2.769 </w:t>
            </w:r>
          </w:p>
        </w:tc>
        <w:tc>
          <w:tcPr>
            <w:tcW w:w="1180" w:type="dxa"/>
            <w:tcBorders>
              <w:top w:val="nil"/>
              <w:left w:val="nil"/>
              <w:bottom w:val="single" w:sz="4" w:space="0" w:color="auto"/>
              <w:right w:val="single" w:sz="4" w:space="0" w:color="auto"/>
            </w:tcBorders>
            <w:shd w:val="clear" w:color="000000" w:fill="FFFFFF"/>
            <w:vAlign w:val="center"/>
            <w:hideMark/>
          </w:tcPr>
          <w:p w14:paraId="224DA5C0" w14:textId="0F83430F" w:rsidR="00510203" w:rsidRPr="00D4416A" w:rsidRDefault="00510203" w:rsidP="007C37A7">
            <w:pPr>
              <w:spacing w:after="0"/>
              <w:jc w:val="right"/>
              <w:rPr>
                <w:rFonts w:eastAsia="Times New Roman" w:cs="Arial"/>
                <w:sz w:val="20"/>
                <w:szCs w:val="20"/>
                <w:lang w:eastAsia="en-GB"/>
              </w:rPr>
            </w:pPr>
            <w:r w:rsidRPr="00D4416A">
              <w:rPr>
                <w:rFonts w:eastAsia="Times New Roman" w:cs="Arial"/>
                <w:sz w:val="20"/>
                <w:szCs w:val="20"/>
                <w:lang w:eastAsia="en-GB"/>
              </w:rPr>
              <w:t>-6.</w:t>
            </w:r>
            <w:r w:rsidR="008C7CC9">
              <w:rPr>
                <w:rFonts w:eastAsia="Times New Roman" w:cs="Arial"/>
                <w:sz w:val="20"/>
                <w:szCs w:val="20"/>
                <w:lang w:eastAsia="en-GB"/>
              </w:rPr>
              <w:t>02</w:t>
            </w:r>
            <w:r w:rsidRPr="00D4416A">
              <w:rPr>
                <w:rFonts w:eastAsia="Times New Roman" w:cs="Arial"/>
                <w:sz w:val="20"/>
                <w:szCs w:val="20"/>
                <w:lang w:eastAsia="en-GB"/>
              </w:rPr>
              <w:t>%</w:t>
            </w:r>
          </w:p>
        </w:tc>
      </w:tr>
      <w:tr w:rsidR="00510203" w:rsidRPr="00D4416A" w14:paraId="51CF74F1" w14:textId="77777777" w:rsidTr="00E118FC">
        <w:trPr>
          <w:trHeight w:val="562"/>
        </w:trPr>
        <w:tc>
          <w:tcPr>
            <w:tcW w:w="708" w:type="dxa"/>
            <w:tcBorders>
              <w:top w:val="nil"/>
              <w:left w:val="single" w:sz="4" w:space="0" w:color="auto"/>
              <w:bottom w:val="single" w:sz="4" w:space="0" w:color="auto"/>
              <w:right w:val="single" w:sz="4" w:space="0" w:color="auto"/>
            </w:tcBorders>
            <w:shd w:val="clear" w:color="000000" w:fill="FFFFFF"/>
            <w:noWrap/>
            <w:hideMark/>
          </w:tcPr>
          <w:p w14:paraId="0139BE56"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3.7</w:t>
            </w:r>
          </w:p>
        </w:tc>
        <w:tc>
          <w:tcPr>
            <w:tcW w:w="3503" w:type="dxa"/>
            <w:tcBorders>
              <w:top w:val="nil"/>
              <w:left w:val="nil"/>
              <w:bottom w:val="single" w:sz="4" w:space="0" w:color="auto"/>
              <w:right w:val="single" w:sz="4" w:space="0" w:color="auto"/>
            </w:tcBorders>
            <w:shd w:val="clear" w:color="000000" w:fill="FFFFFF"/>
            <w:hideMark/>
          </w:tcPr>
          <w:p w14:paraId="1F479FF1" w14:textId="77777777" w:rsidR="00510203" w:rsidRPr="00D4416A" w:rsidRDefault="00510203" w:rsidP="00E118FC">
            <w:pPr>
              <w:spacing w:after="0"/>
              <w:rPr>
                <w:rFonts w:eastAsia="Times New Roman" w:cs="Arial"/>
                <w:sz w:val="20"/>
                <w:szCs w:val="20"/>
                <w:lang w:eastAsia="en-GB"/>
              </w:rPr>
            </w:pPr>
            <w:r w:rsidRPr="00D4416A">
              <w:rPr>
                <w:rFonts w:eastAsia="Times New Roman" w:cs="Arial"/>
                <w:sz w:val="20"/>
                <w:szCs w:val="20"/>
                <w:lang w:eastAsia="en-GB"/>
              </w:rPr>
              <w:t>CHIEF EXECUTIVE</w:t>
            </w:r>
          </w:p>
        </w:tc>
        <w:tc>
          <w:tcPr>
            <w:tcW w:w="1220" w:type="dxa"/>
            <w:tcBorders>
              <w:top w:val="nil"/>
              <w:left w:val="nil"/>
              <w:bottom w:val="single" w:sz="4" w:space="0" w:color="auto"/>
              <w:right w:val="single" w:sz="4" w:space="0" w:color="auto"/>
            </w:tcBorders>
            <w:shd w:val="clear" w:color="auto" w:fill="auto"/>
            <w:vAlign w:val="center"/>
            <w:hideMark/>
          </w:tcPr>
          <w:p w14:paraId="19CFAAF5"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13.531 </w:t>
            </w:r>
          </w:p>
        </w:tc>
        <w:tc>
          <w:tcPr>
            <w:tcW w:w="1436" w:type="dxa"/>
            <w:tcBorders>
              <w:top w:val="nil"/>
              <w:left w:val="nil"/>
              <w:bottom w:val="single" w:sz="4" w:space="0" w:color="auto"/>
              <w:right w:val="single" w:sz="4" w:space="0" w:color="auto"/>
            </w:tcBorders>
            <w:shd w:val="clear" w:color="000000" w:fill="FFFFFF"/>
            <w:vAlign w:val="center"/>
            <w:hideMark/>
          </w:tcPr>
          <w:p w14:paraId="4EDE4624"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6.116 </w:t>
            </w:r>
          </w:p>
        </w:tc>
        <w:tc>
          <w:tcPr>
            <w:tcW w:w="1180" w:type="dxa"/>
            <w:tcBorders>
              <w:top w:val="nil"/>
              <w:left w:val="nil"/>
              <w:bottom w:val="single" w:sz="4" w:space="0" w:color="auto"/>
              <w:right w:val="single" w:sz="4" w:space="0" w:color="auto"/>
            </w:tcBorders>
            <w:shd w:val="clear" w:color="000000" w:fill="FFFFFF"/>
            <w:vAlign w:val="center"/>
            <w:hideMark/>
          </w:tcPr>
          <w:p w14:paraId="4035C010"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-7.415 </w:t>
            </w:r>
          </w:p>
        </w:tc>
        <w:tc>
          <w:tcPr>
            <w:tcW w:w="1180" w:type="dxa"/>
            <w:tcBorders>
              <w:top w:val="nil"/>
              <w:left w:val="nil"/>
              <w:bottom w:val="single" w:sz="4" w:space="0" w:color="auto"/>
              <w:right w:val="single" w:sz="4" w:space="0" w:color="auto"/>
            </w:tcBorders>
            <w:shd w:val="clear" w:color="000000" w:fill="FFFFFF"/>
            <w:vAlign w:val="center"/>
            <w:hideMark/>
          </w:tcPr>
          <w:p w14:paraId="6915F409"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-5.417 </w:t>
            </w:r>
          </w:p>
        </w:tc>
        <w:tc>
          <w:tcPr>
            <w:tcW w:w="1180" w:type="dxa"/>
            <w:tcBorders>
              <w:top w:val="nil"/>
              <w:left w:val="nil"/>
              <w:bottom w:val="single" w:sz="4" w:space="0" w:color="auto"/>
              <w:right w:val="single" w:sz="4" w:space="0" w:color="auto"/>
            </w:tcBorders>
            <w:shd w:val="clear" w:color="000000" w:fill="FFFFFF"/>
            <w:vAlign w:val="center"/>
            <w:hideMark/>
          </w:tcPr>
          <w:p w14:paraId="0A3FEF64"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-54.80%</w:t>
            </w:r>
          </w:p>
        </w:tc>
      </w:tr>
      <w:tr w:rsidR="00510203" w:rsidRPr="00D4416A" w14:paraId="4865C775" w14:textId="77777777" w:rsidTr="00E118FC">
        <w:trPr>
          <w:trHeight w:val="562"/>
        </w:trPr>
        <w:tc>
          <w:tcPr>
            <w:tcW w:w="708" w:type="dxa"/>
            <w:tcBorders>
              <w:top w:val="nil"/>
              <w:left w:val="single" w:sz="4" w:space="0" w:color="auto"/>
              <w:bottom w:val="single" w:sz="4" w:space="0" w:color="auto"/>
              <w:right w:val="single" w:sz="4" w:space="0" w:color="auto"/>
            </w:tcBorders>
            <w:shd w:val="clear" w:color="000000" w:fill="D9D9D9"/>
            <w:vAlign w:val="center"/>
            <w:hideMark/>
          </w:tcPr>
          <w:p w14:paraId="1EC6226F" w14:textId="77777777" w:rsidR="00510203" w:rsidRPr="00D4416A" w:rsidRDefault="00510203" w:rsidP="00E118FC">
            <w:pPr>
              <w:spacing w:after="0"/>
              <w:jc w:val="right"/>
              <w:rPr>
                <w:rFonts w:eastAsia="Times New Roman" w:cs="Arial"/>
                <w:b/>
                <w:bCs/>
                <w:sz w:val="20"/>
                <w:szCs w:val="20"/>
                <w:lang w:eastAsia="en-GB"/>
              </w:rPr>
            </w:pPr>
            <w:r w:rsidRPr="00D4416A">
              <w:rPr>
                <w:rFonts w:eastAsia="Times New Roman" w:cs="Arial"/>
                <w:b/>
                <w:bCs/>
                <w:sz w:val="20"/>
                <w:szCs w:val="20"/>
                <w:lang w:eastAsia="en-GB"/>
              </w:rPr>
              <w:t> </w:t>
            </w:r>
          </w:p>
        </w:tc>
        <w:tc>
          <w:tcPr>
            <w:tcW w:w="3503" w:type="dxa"/>
            <w:tcBorders>
              <w:top w:val="nil"/>
              <w:left w:val="nil"/>
              <w:bottom w:val="single" w:sz="4" w:space="0" w:color="auto"/>
              <w:right w:val="single" w:sz="4" w:space="0" w:color="auto"/>
            </w:tcBorders>
            <w:shd w:val="clear" w:color="000000" w:fill="D9D9D9"/>
            <w:vAlign w:val="center"/>
            <w:hideMark/>
          </w:tcPr>
          <w:p w14:paraId="3223D0D8" w14:textId="77777777" w:rsidR="00510203" w:rsidRPr="00D4416A" w:rsidRDefault="00510203" w:rsidP="00E118FC">
            <w:pPr>
              <w:spacing w:after="0"/>
              <w:rPr>
                <w:rFonts w:eastAsia="Times New Roman" w:cs="Arial"/>
                <w:b/>
                <w:bCs/>
                <w:sz w:val="20"/>
                <w:szCs w:val="20"/>
                <w:lang w:eastAsia="en-GB"/>
              </w:rPr>
            </w:pPr>
            <w:r w:rsidRPr="00D4416A">
              <w:rPr>
                <w:rFonts w:eastAsia="Times New Roman" w:cs="Arial"/>
                <w:b/>
                <w:bCs/>
                <w:sz w:val="20"/>
                <w:szCs w:val="20"/>
                <w:lang w:eastAsia="en-GB"/>
              </w:rPr>
              <w:t>TOTAL</w:t>
            </w:r>
          </w:p>
        </w:tc>
        <w:tc>
          <w:tcPr>
            <w:tcW w:w="1220" w:type="dxa"/>
            <w:tcBorders>
              <w:top w:val="nil"/>
              <w:left w:val="nil"/>
              <w:bottom w:val="single" w:sz="4" w:space="0" w:color="auto"/>
              <w:right w:val="single" w:sz="4" w:space="0" w:color="auto"/>
            </w:tcBorders>
            <w:shd w:val="clear" w:color="000000" w:fill="D9D9D9"/>
            <w:vAlign w:val="center"/>
            <w:hideMark/>
          </w:tcPr>
          <w:p w14:paraId="230FC41D" w14:textId="77777777" w:rsidR="00510203" w:rsidRPr="00D4416A" w:rsidRDefault="00510203" w:rsidP="00E118FC">
            <w:pPr>
              <w:spacing w:after="0"/>
              <w:jc w:val="right"/>
              <w:rPr>
                <w:rFonts w:eastAsia="Times New Roman" w:cs="Arial"/>
                <w:b/>
                <w:bCs/>
                <w:sz w:val="20"/>
                <w:szCs w:val="20"/>
                <w:lang w:eastAsia="en-GB"/>
              </w:rPr>
            </w:pPr>
            <w:r w:rsidRPr="00D4416A">
              <w:rPr>
                <w:rFonts w:eastAsia="Times New Roman" w:cs="Arial"/>
                <w:b/>
                <w:bCs/>
                <w:sz w:val="20"/>
                <w:szCs w:val="20"/>
                <w:lang w:eastAsia="en-GB"/>
              </w:rPr>
              <w:t xml:space="preserve">724.822 </w:t>
            </w:r>
          </w:p>
        </w:tc>
        <w:tc>
          <w:tcPr>
            <w:tcW w:w="1436" w:type="dxa"/>
            <w:tcBorders>
              <w:top w:val="nil"/>
              <w:left w:val="nil"/>
              <w:bottom w:val="single" w:sz="4" w:space="0" w:color="auto"/>
              <w:right w:val="single" w:sz="4" w:space="0" w:color="auto"/>
            </w:tcBorders>
            <w:shd w:val="clear" w:color="000000" w:fill="D9D9D9"/>
            <w:vAlign w:val="center"/>
            <w:hideMark/>
          </w:tcPr>
          <w:p w14:paraId="2EE3579D" w14:textId="77777777" w:rsidR="00510203" w:rsidRPr="00D4416A" w:rsidRDefault="00510203" w:rsidP="00E118FC">
            <w:pPr>
              <w:spacing w:after="0"/>
              <w:jc w:val="right"/>
              <w:rPr>
                <w:rFonts w:eastAsia="Times New Roman" w:cs="Arial"/>
                <w:b/>
                <w:bCs/>
                <w:sz w:val="20"/>
                <w:szCs w:val="20"/>
                <w:lang w:eastAsia="en-GB"/>
              </w:rPr>
            </w:pPr>
            <w:r w:rsidRPr="00D4416A">
              <w:rPr>
                <w:rFonts w:eastAsia="Times New Roman" w:cs="Arial"/>
                <w:b/>
                <w:bCs/>
                <w:sz w:val="20"/>
                <w:szCs w:val="20"/>
                <w:lang w:eastAsia="en-GB"/>
              </w:rPr>
              <w:t xml:space="preserve">709.064 </w:t>
            </w:r>
          </w:p>
        </w:tc>
        <w:tc>
          <w:tcPr>
            <w:tcW w:w="1180" w:type="dxa"/>
            <w:tcBorders>
              <w:top w:val="nil"/>
              <w:left w:val="nil"/>
              <w:bottom w:val="single" w:sz="4" w:space="0" w:color="auto"/>
              <w:right w:val="single" w:sz="4" w:space="0" w:color="auto"/>
            </w:tcBorders>
            <w:shd w:val="clear" w:color="000000" w:fill="D9D9D9"/>
            <w:vAlign w:val="center"/>
            <w:hideMark/>
          </w:tcPr>
          <w:p w14:paraId="62A4FC06" w14:textId="77777777" w:rsidR="00510203" w:rsidRPr="00D4416A" w:rsidRDefault="00510203" w:rsidP="00E118FC">
            <w:pPr>
              <w:spacing w:after="0"/>
              <w:jc w:val="right"/>
              <w:rPr>
                <w:rFonts w:eastAsia="Times New Roman" w:cs="Arial"/>
                <w:b/>
                <w:bCs/>
                <w:sz w:val="20"/>
                <w:szCs w:val="20"/>
                <w:lang w:eastAsia="en-GB"/>
              </w:rPr>
            </w:pPr>
            <w:r w:rsidRPr="00D4416A">
              <w:rPr>
                <w:rFonts w:eastAsia="Times New Roman" w:cs="Arial"/>
                <w:b/>
                <w:bCs/>
                <w:sz w:val="20"/>
                <w:szCs w:val="20"/>
                <w:lang w:eastAsia="en-GB"/>
              </w:rPr>
              <w:t xml:space="preserve">-15.758 </w:t>
            </w:r>
          </w:p>
        </w:tc>
        <w:tc>
          <w:tcPr>
            <w:tcW w:w="1180" w:type="dxa"/>
            <w:tcBorders>
              <w:top w:val="nil"/>
              <w:left w:val="nil"/>
              <w:bottom w:val="single" w:sz="4" w:space="0" w:color="auto"/>
              <w:right w:val="single" w:sz="4" w:space="0" w:color="auto"/>
            </w:tcBorders>
            <w:shd w:val="clear" w:color="000000" w:fill="D9D9D9"/>
            <w:vAlign w:val="center"/>
            <w:hideMark/>
          </w:tcPr>
          <w:p w14:paraId="6E6551C9" w14:textId="77777777" w:rsidR="00510203" w:rsidRPr="00D4416A" w:rsidRDefault="00510203" w:rsidP="00E118FC">
            <w:pPr>
              <w:spacing w:after="0"/>
              <w:jc w:val="right"/>
              <w:rPr>
                <w:rFonts w:eastAsia="Times New Roman" w:cs="Arial"/>
                <w:b/>
                <w:bCs/>
                <w:sz w:val="20"/>
                <w:szCs w:val="20"/>
                <w:lang w:eastAsia="en-GB"/>
              </w:rPr>
            </w:pPr>
            <w:r w:rsidRPr="00D4416A">
              <w:rPr>
                <w:rFonts w:eastAsia="Times New Roman" w:cs="Arial"/>
                <w:b/>
                <w:bCs/>
                <w:sz w:val="20"/>
                <w:szCs w:val="20"/>
                <w:lang w:eastAsia="en-GB"/>
              </w:rPr>
              <w:t xml:space="preserve">-7.499 </w:t>
            </w:r>
          </w:p>
        </w:tc>
        <w:tc>
          <w:tcPr>
            <w:tcW w:w="1180" w:type="dxa"/>
            <w:tcBorders>
              <w:top w:val="nil"/>
              <w:left w:val="nil"/>
              <w:bottom w:val="single" w:sz="4" w:space="0" w:color="auto"/>
              <w:right w:val="single" w:sz="4" w:space="0" w:color="auto"/>
            </w:tcBorders>
            <w:shd w:val="clear" w:color="000000" w:fill="D9D9D9"/>
            <w:vAlign w:val="center"/>
            <w:hideMark/>
          </w:tcPr>
          <w:p w14:paraId="3FFF8388" w14:textId="77777777" w:rsidR="00510203" w:rsidRPr="00D4416A" w:rsidRDefault="00510203" w:rsidP="00E118FC">
            <w:pPr>
              <w:spacing w:after="0"/>
              <w:jc w:val="right"/>
              <w:rPr>
                <w:rFonts w:eastAsia="Times New Roman" w:cs="Arial"/>
                <w:b/>
                <w:bCs/>
                <w:sz w:val="20"/>
                <w:szCs w:val="20"/>
                <w:lang w:eastAsia="en-GB"/>
              </w:rPr>
            </w:pPr>
            <w:r w:rsidRPr="00D4416A">
              <w:rPr>
                <w:rFonts w:eastAsia="Times New Roman" w:cs="Arial"/>
                <w:b/>
                <w:bCs/>
                <w:sz w:val="20"/>
                <w:szCs w:val="20"/>
                <w:lang w:eastAsia="en-GB"/>
              </w:rPr>
              <w:t>-2.17%</w:t>
            </w:r>
          </w:p>
        </w:tc>
      </w:tr>
    </w:tbl>
    <w:p w14:paraId="03A19F2F" w14:textId="77777777" w:rsidR="00510203" w:rsidRDefault="00510203" w:rsidP="00510203">
      <w:pPr>
        <w:spacing w:after="0"/>
        <w:rPr>
          <w:rFonts w:cs="Arial"/>
        </w:rPr>
      </w:pPr>
    </w:p>
    <w:p w14:paraId="6A649315" w14:textId="4FF05923" w:rsidR="00510203" w:rsidRDefault="00510203" w:rsidP="00212D25">
      <w:pPr>
        <w:spacing w:after="0"/>
        <w:rPr>
          <w:rFonts w:cs="Arial"/>
        </w:rPr>
      </w:pPr>
      <w:r w:rsidRPr="000B48BC">
        <w:rPr>
          <w:rFonts w:cs="Arial"/>
        </w:rPr>
        <w:t>The forecast final position for the end of the year is net expenditure of £7</w:t>
      </w:r>
      <w:r>
        <w:rPr>
          <w:rFonts w:cs="Arial"/>
        </w:rPr>
        <w:t>09.064</w:t>
      </w:r>
      <w:r w:rsidRPr="000B48BC">
        <w:rPr>
          <w:rFonts w:cs="Arial"/>
        </w:rPr>
        <w:t>m, reflecting a predicted in year underspend of £</w:t>
      </w:r>
      <w:r>
        <w:rPr>
          <w:rFonts w:cs="Arial"/>
        </w:rPr>
        <w:t>15.758</w:t>
      </w:r>
      <w:r w:rsidRPr="000B48BC">
        <w:rPr>
          <w:rFonts w:cs="Arial"/>
        </w:rPr>
        <w:t xml:space="preserve">m </w:t>
      </w:r>
      <w:r>
        <w:rPr>
          <w:rFonts w:cs="Arial"/>
        </w:rPr>
        <w:t>being</w:t>
      </w:r>
      <w:r w:rsidRPr="000B48BC">
        <w:rPr>
          <w:rFonts w:cs="Arial"/>
        </w:rPr>
        <w:t xml:space="preserve"> </w:t>
      </w:r>
      <w:r>
        <w:rPr>
          <w:rFonts w:cs="Arial"/>
        </w:rPr>
        <w:t>2.17% of the budget. The 2017/18</w:t>
      </w:r>
      <w:r w:rsidRPr="00472960">
        <w:rPr>
          <w:rFonts w:cs="Arial"/>
        </w:rPr>
        <w:t xml:space="preserve"> forecast </w:t>
      </w:r>
      <w:r w:rsidRPr="000B48BC">
        <w:rPr>
          <w:rFonts w:cs="Arial"/>
        </w:rPr>
        <w:t>has improved</w:t>
      </w:r>
      <w:r>
        <w:rPr>
          <w:rFonts w:cs="Arial"/>
        </w:rPr>
        <w:t xml:space="preserve"> </w:t>
      </w:r>
      <w:r w:rsidRPr="000B48BC">
        <w:rPr>
          <w:rFonts w:cs="Arial"/>
        </w:rPr>
        <w:t>by £</w:t>
      </w:r>
      <w:r>
        <w:rPr>
          <w:rFonts w:cs="Arial"/>
        </w:rPr>
        <w:t>8.</w:t>
      </w:r>
      <w:r w:rsidR="008C7CC9">
        <w:rPr>
          <w:rFonts w:cs="Arial"/>
        </w:rPr>
        <w:t>260</w:t>
      </w:r>
      <w:r w:rsidRPr="000B48BC">
        <w:rPr>
          <w:rFonts w:cs="Arial"/>
        </w:rPr>
        <w:t xml:space="preserve">m </w:t>
      </w:r>
      <w:r>
        <w:rPr>
          <w:rFonts w:cs="Arial"/>
        </w:rPr>
        <w:t xml:space="preserve">compared to the position reported to Cabinet </w:t>
      </w:r>
      <w:r w:rsidRPr="000B48BC">
        <w:rPr>
          <w:rFonts w:cs="Arial"/>
        </w:rPr>
        <w:t>as</w:t>
      </w:r>
      <w:r w:rsidRPr="00472960">
        <w:rPr>
          <w:rFonts w:cs="Arial"/>
        </w:rPr>
        <w:t xml:space="preserve"> at the end of </w:t>
      </w:r>
      <w:r>
        <w:rPr>
          <w:rFonts w:cs="Arial"/>
        </w:rPr>
        <w:t xml:space="preserve">September 2017. </w:t>
      </w:r>
      <w:r w:rsidRPr="00472960">
        <w:rPr>
          <w:rFonts w:cs="Arial"/>
        </w:rPr>
        <w:t xml:space="preserve"> </w:t>
      </w:r>
    </w:p>
    <w:p w14:paraId="29971156" w14:textId="77777777" w:rsidR="005F05DD" w:rsidRDefault="005F05DD" w:rsidP="00212D25">
      <w:pPr>
        <w:spacing w:after="0"/>
        <w:rPr>
          <w:rFonts w:cs="Arial"/>
        </w:rPr>
      </w:pPr>
    </w:p>
    <w:p w14:paraId="2380CEBC" w14:textId="4C8ECB29" w:rsidR="005F05DD" w:rsidRDefault="005F05DD" w:rsidP="00212D25">
      <w:pPr>
        <w:spacing w:after="0"/>
        <w:rPr>
          <w:rFonts w:cs="Arial"/>
        </w:rPr>
      </w:pPr>
      <w:r>
        <w:rPr>
          <w:rFonts w:cs="Arial"/>
        </w:rPr>
        <w:t>The most significant areas of change compared to the forecast presented to Cabinet at Quarter 2 are:</w:t>
      </w:r>
    </w:p>
    <w:p w14:paraId="7612DBFF" w14:textId="77777777" w:rsidR="005F05DD" w:rsidRDefault="005F05DD" w:rsidP="00212D25">
      <w:pPr>
        <w:spacing w:after="0"/>
        <w:rPr>
          <w:rFonts w:cs="Arial"/>
        </w:rPr>
      </w:pPr>
    </w:p>
    <w:p w14:paraId="1D14B1BF" w14:textId="3B07E6A6" w:rsidR="005F05DD" w:rsidRDefault="005F05DD" w:rsidP="00212D25">
      <w:pPr>
        <w:pStyle w:val="ListParagraph"/>
        <w:numPr>
          <w:ilvl w:val="0"/>
          <w:numId w:val="42"/>
        </w:numPr>
        <w:spacing w:after="0"/>
        <w:rPr>
          <w:rFonts w:cs="Arial"/>
        </w:rPr>
      </w:pPr>
      <w:r>
        <w:rPr>
          <w:rFonts w:cs="Arial"/>
        </w:rPr>
        <w:t>Increased capitalisation of areas such as street</w:t>
      </w:r>
      <w:r w:rsidR="00212D25">
        <w:rPr>
          <w:rFonts w:cs="Arial"/>
        </w:rPr>
        <w:t xml:space="preserve"> </w:t>
      </w:r>
      <w:r>
        <w:rPr>
          <w:rFonts w:cs="Arial"/>
        </w:rPr>
        <w:t>lighting maintenance and drainage repairs within Community Services totalling £3.939m</w:t>
      </w:r>
      <w:r w:rsidR="00212D25">
        <w:rPr>
          <w:rFonts w:cs="Arial"/>
        </w:rPr>
        <w:t>.</w:t>
      </w:r>
    </w:p>
    <w:p w14:paraId="462472BB" w14:textId="7BC4DDAE" w:rsidR="005F05DD" w:rsidRDefault="005F05DD" w:rsidP="00212D25">
      <w:pPr>
        <w:pStyle w:val="ListParagraph"/>
        <w:numPr>
          <w:ilvl w:val="0"/>
          <w:numId w:val="42"/>
        </w:numPr>
        <w:spacing w:after="0"/>
        <w:rPr>
          <w:rFonts w:cs="Arial"/>
        </w:rPr>
      </w:pPr>
      <w:r>
        <w:rPr>
          <w:rFonts w:cs="Arial"/>
        </w:rPr>
        <w:t>Improved Treasury Management performance</w:t>
      </w:r>
      <w:r w:rsidR="00664924">
        <w:rPr>
          <w:rFonts w:cs="Arial"/>
        </w:rPr>
        <w:t xml:space="preserve"> of £2.290m</w:t>
      </w:r>
      <w:r>
        <w:rPr>
          <w:rFonts w:cs="Arial"/>
        </w:rPr>
        <w:t xml:space="preserve"> </w:t>
      </w:r>
      <w:r w:rsidR="00212D25" w:rsidRPr="00212D25">
        <w:rPr>
          <w:rFonts w:cs="Arial"/>
        </w:rPr>
        <w:t xml:space="preserve">due to a combination of interest payable being lower than budgeted and </w:t>
      </w:r>
      <w:r w:rsidR="00664924">
        <w:rPr>
          <w:rFonts w:cs="Arial"/>
        </w:rPr>
        <w:t>gains made on the sale of bonds.</w:t>
      </w:r>
    </w:p>
    <w:p w14:paraId="325ED958" w14:textId="0E7560CF" w:rsidR="00664924" w:rsidRPr="005F05DD" w:rsidRDefault="00664924" w:rsidP="00212D25">
      <w:pPr>
        <w:pStyle w:val="ListParagraph"/>
        <w:numPr>
          <w:ilvl w:val="0"/>
          <w:numId w:val="42"/>
        </w:numPr>
        <w:spacing w:after="0"/>
        <w:rPr>
          <w:rFonts w:cs="Arial"/>
        </w:rPr>
      </w:pPr>
      <w:r>
        <w:rPr>
          <w:rFonts w:cs="Arial"/>
        </w:rPr>
        <w:t xml:space="preserve">An improved position in Adults Services of £1.169m due to staff vacancies, increases in income and a reduction in domiciliary care expenditure. </w:t>
      </w:r>
    </w:p>
    <w:p w14:paraId="2F6B71A2" w14:textId="77777777" w:rsidR="00510203" w:rsidRDefault="00510203" w:rsidP="00510203">
      <w:pPr>
        <w:spacing w:after="0"/>
      </w:pPr>
    </w:p>
    <w:p w14:paraId="47F327FF" w14:textId="77777777" w:rsidR="00510203" w:rsidRDefault="00510203" w:rsidP="00510203">
      <w:pPr>
        <w:spacing w:after="0"/>
        <w:rPr>
          <w:rFonts w:cs="Arial"/>
          <w:b/>
          <w:u w:val="single"/>
        </w:rPr>
      </w:pPr>
    </w:p>
    <w:p w14:paraId="56523ACD" w14:textId="77777777" w:rsidR="00510203" w:rsidRDefault="00510203" w:rsidP="00510203">
      <w:pPr>
        <w:spacing w:after="0"/>
        <w:rPr>
          <w:rFonts w:cs="Arial"/>
          <w:b/>
          <w:u w:val="single"/>
        </w:rPr>
      </w:pPr>
    </w:p>
    <w:p w14:paraId="2BA6AA28" w14:textId="77777777" w:rsidR="00510203" w:rsidRDefault="00510203" w:rsidP="00510203">
      <w:pPr>
        <w:spacing w:after="0"/>
        <w:rPr>
          <w:rFonts w:cs="Arial"/>
          <w:b/>
          <w:u w:val="single"/>
        </w:rPr>
      </w:pPr>
    </w:p>
    <w:p w14:paraId="33DA98A6" w14:textId="77777777" w:rsidR="00510203" w:rsidRDefault="00510203" w:rsidP="00510203">
      <w:pPr>
        <w:spacing w:after="0"/>
        <w:rPr>
          <w:rFonts w:cs="Arial"/>
          <w:b/>
          <w:u w:val="single"/>
        </w:rPr>
      </w:pPr>
    </w:p>
    <w:p w14:paraId="641EE328" w14:textId="77777777" w:rsidR="00510203" w:rsidRDefault="00510203" w:rsidP="00510203">
      <w:pPr>
        <w:spacing w:after="0"/>
        <w:rPr>
          <w:rFonts w:cs="Arial"/>
          <w:b/>
          <w:u w:val="single"/>
        </w:rPr>
      </w:pPr>
    </w:p>
    <w:p w14:paraId="0FFD60FB" w14:textId="77777777" w:rsidR="00510203" w:rsidRDefault="00510203" w:rsidP="00510203">
      <w:pPr>
        <w:spacing w:after="0"/>
        <w:rPr>
          <w:rFonts w:cs="Arial"/>
          <w:b/>
          <w:u w:val="single"/>
        </w:rPr>
      </w:pPr>
    </w:p>
    <w:p w14:paraId="067E42CC" w14:textId="77777777" w:rsidR="00510203" w:rsidRDefault="00510203" w:rsidP="00510203">
      <w:pPr>
        <w:spacing w:after="0"/>
        <w:rPr>
          <w:rFonts w:cs="Arial"/>
          <w:b/>
          <w:u w:val="single"/>
        </w:rPr>
      </w:pPr>
    </w:p>
    <w:p w14:paraId="34D535C5" w14:textId="77777777" w:rsidR="00510203" w:rsidRDefault="00510203" w:rsidP="00510203">
      <w:pPr>
        <w:spacing w:after="0"/>
        <w:rPr>
          <w:rFonts w:cs="Arial"/>
          <w:b/>
          <w:u w:val="single"/>
        </w:rPr>
      </w:pPr>
    </w:p>
    <w:p w14:paraId="727CA01A" w14:textId="77777777" w:rsidR="00510203" w:rsidRDefault="00510203" w:rsidP="00510203">
      <w:pPr>
        <w:spacing w:after="0"/>
        <w:rPr>
          <w:rFonts w:cs="Arial"/>
          <w:b/>
          <w:u w:val="single"/>
        </w:rPr>
      </w:pPr>
    </w:p>
    <w:p w14:paraId="186F8163" w14:textId="78F36505" w:rsidR="00664924" w:rsidRDefault="00664924" w:rsidP="00510203">
      <w:pPr>
        <w:spacing w:after="0"/>
        <w:rPr>
          <w:rFonts w:cs="Arial"/>
          <w:b/>
          <w:u w:val="single"/>
        </w:rPr>
      </w:pPr>
    </w:p>
    <w:p w14:paraId="2C77742B" w14:textId="64CA33DC" w:rsidR="00664924" w:rsidRDefault="00664924" w:rsidP="00510203">
      <w:pPr>
        <w:spacing w:after="0"/>
        <w:rPr>
          <w:rFonts w:eastAsia="Times New Roman" w:cs="Arial"/>
          <w:b/>
          <w:lang w:eastAsia="en-GB"/>
        </w:rPr>
      </w:pPr>
      <w:r>
        <w:rPr>
          <w:rFonts w:eastAsia="Times New Roman" w:cs="Arial"/>
          <w:b/>
          <w:lang w:eastAsia="en-GB"/>
        </w:rPr>
        <w:lastRenderedPageBreak/>
        <w:t>3</w:t>
      </w:r>
      <w:r w:rsidRPr="00FB36C0">
        <w:rPr>
          <w:rFonts w:eastAsia="Times New Roman" w:cs="Arial"/>
          <w:b/>
          <w:lang w:eastAsia="en-GB"/>
        </w:rPr>
        <w:t>.</w:t>
      </w:r>
      <w:r w:rsidRPr="00FB36C0">
        <w:rPr>
          <w:rFonts w:eastAsia="Times New Roman" w:cs="Arial"/>
          <w:b/>
          <w:lang w:eastAsia="en-GB"/>
        </w:rPr>
        <w:tab/>
      </w:r>
      <w:r w:rsidR="009D6C22">
        <w:rPr>
          <w:rFonts w:eastAsia="Times New Roman" w:cs="Arial"/>
          <w:b/>
          <w:lang w:eastAsia="en-GB"/>
        </w:rPr>
        <w:t>Budget Monitoring Detailed Analysis</w:t>
      </w:r>
    </w:p>
    <w:p w14:paraId="3CBFF3F2" w14:textId="77777777" w:rsidR="00664924" w:rsidRDefault="00664924" w:rsidP="00510203">
      <w:pPr>
        <w:spacing w:after="0"/>
        <w:rPr>
          <w:rFonts w:cs="Arial"/>
          <w:b/>
          <w:u w:val="single"/>
        </w:rPr>
      </w:pPr>
    </w:p>
    <w:p w14:paraId="16B74F7E" w14:textId="26FA233C" w:rsidR="00510203" w:rsidRDefault="00664924" w:rsidP="00510203">
      <w:pPr>
        <w:spacing w:after="0"/>
        <w:rPr>
          <w:rFonts w:eastAsia="Times New Roman" w:cs="Arial"/>
          <w:b/>
          <w:lang w:eastAsia="en-GB"/>
        </w:rPr>
      </w:pPr>
      <w:r>
        <w:rPr>
          <w:rFonts w:eastAsia="Times New Roman" w:cs="Arial"/>
          <w:b/>
          <w:lang w:eastAsia="en-GB"/>
        </w:rPr>
        <w:t>3</w:t>
      </w:r>
      <w:r w:rsidRPr="00FB36C0">
        <w:rPr>
          <w:rFonts w:eastAsia="Times New Roman" w:cs="Arial"/>
          <w:b/>
          <w:lang w:eastAsia="en-GB"/>
        </w:rPr>
        <w:t>.</w:t>
      </w:r>
      <w:r>
        <w:rPr>
          <w:rFonts w:eastAsia="Times New Roman" w:cs="Arial"/>
          <w:b/>
          <w:lang w:eastAsia="en-GB"/>
        </w:rPr>
        <w:t>1</w:t>
      </w:r>
      <w:r w:rsidRPr="00FB36C0">
        <w:rPr>
          <w:rFonts w:eastAsia="Times New Roman" w:cs="Arial"/>
          <w:b/>
          <w:lang w:eastAsia="en-GB"/>
        </w:rPr>
        <w:tab/>
      </w:r>
      <w:r>
        <w:rPr>
          <w:rFonts w:eastAsia="Times New Roman" w:cs="Arial"/>
          <w:b/>
          <w:lang w:eastAsia="en-GB"/>
        </w:rPr>
        <w:t xml:space="preserve">Adults Services </w:t>
      </w:r>
    </w:p>
    <w:p w14:paraId="41135EDC" w14:textId="77777777" w:rsidR="00664924" w:rsidRPr="00664924" w:rsidRDefault="00664924" w:rsidP="00510203">
      <w:pPr>
        <w:spacing w:after="0"/>
        <w:rPr>
          <w:rFonts w:eastAsia="Times New Roman" w:cs="Arial"/>
          <w:b/>
          <w:lang w:eastAsia="en-GB"/>
        </w:rPr>
      </w:pPr>
    </w:p>
    <w:tbl>
      <w:tblPr>
        <w:tblW w:w="9713" w:type="dxa"/>
        <w:tblInd w:w="-289" w:type="dxa"/>
        <w:tblLook w:val="04A0" w:firstRow="1" w:lastRow="0" w:firstColumn="1" w:lastColumn="0" w:noHBand="0" w:noVBand="1"/>
      </w:tblPr>
      <w:tblGrid>
        <w:gridCol w:w="710"/>
        <w:gridCol w:w="3102"/>
        <w:gridCol w:w="1150"/>
        <w:gridCol w:w="1217"/>
        <w:gridCol w:w="1178"/>
        <w:gridCol w:w="1178"/>
        <w:gridCol w:w="1178"/>
      </w:tblGrid>
      <w:tr w:rsidR="00510203" w:rsidRPr="00D4416A" w14:paraId="20A135BD" w14:textId="77777777" w:rsidTr="00E118FC">
        <w:trPr>
          <w:trHeight w:val="1470"/>
        </w:trPr>
        <w:tc>
          <w:tcPr>
            <w:tcW w:w="710" w:type="dxa"/>
            <w:tcBorders>
              <w:top w:val="single" w:sz="4" w:space="0" w:color="auto"/>
              <w:left w:val="single" w:sz="4" w:space="0" w:color="auto"/>
              <w:bottom w:val="nil"/>
              <w:right w:val="single" w:sz="4" w:space="0" w:color="auto"/>
            </w:tcBorders>
            <w:shd w:val="clear" w:color="000000" w:fill="D9D9D9"/>
            <w:vAlign w:val="bottom"/>
            <w:hideMark/>
          </w:tcPr>
          <w:p w14:paraId="117150F2"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Ref</w:t>
            </w:r>
          </w:p>
        </w:tc>
        <w:tc>
          <w:tcPr>
            <w:tcW w:w="3102" w:type="dxa"/>
            <w:tcBorders>
              <w:top w:val="single" w:sz="4" w:space="0" w:color="auto"/>
              <w:left w:val="nil"/>
              <w:bottom w:val="nil"/>
              <w:right w:val="single" w:sz="4" w:space="0" w:color="auto"/>
            </w:tcBorders>
            <w:shd w:val="clear" w:color="000000" w:fill="D9D9D9"/>
            <w:vAlign w:val="bottom"/>
            <w:hideMark/>
          </w:tcPr>
          <w:p w14:paraId="433B01EC"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HEAD OF SERVICE</w:t>
            </w:r>
          </w:p>
        </w:tc>
        <w:tc>
          <w:tcPr>
            <w:tcW w:w="1150" w:type="dxa"/>
            <w:tcBorders>
              <w:top w:val="single" w:sz="4" w:space="0" w:color="auto"/>
              <w:left w:val="nil"/>
              <w:bottom w:val="nil"/>
              <w:right w:val="single" w:sz="4" w:space="0" w:color="auto"/>
            </w:tcBorders>
            <w:shd w:val="clear" w:color="000000" w:fill="D9D9D9"/>
            <w:vAlign w:val="bottom"/>
            <w:hideMark/>
          </w:tcPr>
          <w:p w14:paraId="49C58271"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Approved Budget</w:t>
            </w:r>
          </w:p>
        </w:tc>
        <w:tc>
          <w:tcPr>
            <w:tcW w:w="1217" w:type="dxa"/>
            <w:tcBorders>
              <w:top w:val="single" w:sz="4" w:space="0" w:color="auto"/>
              <w:left w:val="nil"/>
              <w:bottom w:val="nil"/>
              <w:right w:val="single" w:sz="4" w:space="0" w:color="auto"/>
            </w:tcBorders>
            <w:shd w:val="clear" w:color="000000" w:fill="D9D9D9"/>
            <w:vAlign w:val="bottom"/>
            <w:hideMark/>
          </w:tcPr>
          <w:p w14:paraId="3929FC5F"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Current Cabinet Forecast Qtr 3</w:t>
            </w:r>
          </w:p>
        </w:tc>
        <w:tc>
          <w:tcPr>
            <w:tcW w:w="1178" w:type="dxa"/>
            <w:tcBorders>
              <w:top w:val="single" w:sz="4" w:space="0" w:color="auto"/>
              <w:left w:val="nil"/>
              <w:bottom w:val="nil"/>
              <w:right w:val="single" w:sz="4" w:space="0" w:color="auto"/>
            </w:tcBorders>
            <w:shd w:val="clear" w:color="000000" w:fill="D9D9D9"/>
            <w:vAlign w:val="bottom"/>
            <w:hideMark/>
          </w:tcPr>
          <w:p w14:paraId="1AC3A1C1"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Current Cabinet Forecast Variance</w:t>
            </w:r>
          </w:p>
        </w:tc>
        <w:tc>
          <w:tcPr>
            <w:tcW w:w="1178" w:type="dxa"/>
            <w:tcBorders>
              <w:top w:val="single" w:sz="4" w:space="0" w:color="auto"/>
              <w:left w:val="nil"/>
              <w:bottom w:val="nil"/>
              <w:right w:val="single" w:sz="4" w:space="0" w:color="auto"/>
            </w:tcBorders>
            <w:shd w:val="clear" w:color="000000" w:fill="D9D9D9"/>
            <w:vAlign w:val="bottom"/>
            <w:hideMark/>
          </w:tcPr>
          <w:p w14:paraId="5E212966"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Previous Period Forecast Variance Qtr 2</w:t>
            </w:r>
          </w:p>
        </w:tc>
        <w:tc>
          <w:tcPr>
            <w:tcW w:w="1178" w:type="dxa"/>
            <w:tcBorders>
              <w:top w:val="single" w:sz="4" w:space="0" w:color="auto"/>
              <w:left w:val="nil"/>
              <w:bottom w:val="nil"/>
              <w:right w:val="single" w:sz="4" w:space="0" w:color="auto"/>
            </w:tcBorders>
            <w:shd w:val="clear" w:color="000000" w:fill="D9D9D9"/>
            <w:vAlign w:val="bottom"/>
            <w:hideMark/>
          </w:tcPr>
          <w:p w14:paraId="393E286A"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Current Qtr 3 Forecast Variance</w:t>
            </w:r>
          </w:p>
        </w:tc>
      </w:tr>
      <w:tr w:rsidR="00510203" w:rsidRPr="00D4416A" w14:paraId="004FCDD3" w14:textId="77777777" w:rsidTr="00E118FC">
        <w:trPr>
          <w:trHeight w:val="559"/>
        </w:trPr>
        <w:tc>
          <w:tcPr>
            <w:tcW w:w="710" w:type="dxa"/>
            <w:tcBorders>
              <w:top w:val="nil"/>
              <w:left w:val="single" w:sz="4" w:space="0" w:color="auto"/>
              <w:bottom w:val="single" w:sz="4" w:space="0" w:color="auto"/>
              <w:right w:val="single" w:sz="4" w:space="0" w:color="auto"/>
            </w:tcBorders>
            <w:shd w:val="clear" w:color="000000" w:fill="D9D9D9"/>
            <w:vAlign w:val="bottom"/>
            <w:hideMark/>
          </w:tcPr>
          <w:p w14:paraId="63975538"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 </w:t>
            </w:r>
          </w:p>
        </w:tc>
        <w:tc>
          <w:tcPr>
            <w:tcW w:w="3102" w:type="dxa"/>
            <w:tcBorders>
              <w:top w:val="nil"/>
              <w:left w:val="nil"/>
              <w:bottom w:val="single" w:sz="4" w:space="0" w:color="auto"/>
              <w:right w:val="single" w:sz="4" w:space="0" w:color="auto"/>
            </w:tcBorders>
            <w:shd w:val="clear" w:color="000000" w:fill="D9D9D9"/>
            <w:vAlign w:val="bottom"/>
            <w:hideMark/>
          </w:tcPr>
          <w:p w14:paraId="3FAD4313"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 </w:t>
            </w:r>
          </w:p>
        </w:tc>
        <w:tc>
          <w:tcPr>
            <w:tcW w:w="1150" w:type="dxa"/>
            <w:tcBorders>
              <w:top w:val="nil"/>
              <w:left w:val="nil"/>
              <w:bottom w:val="single" w:sz="4" w:space="0" w:color="auto"/>
              <w:right w:val="single" w:sz="4" w:space="0" w:color="auto"/>
            </w:tcBorders>
            <w:shd w:val="clear" w:color="000000" w:fill="D9D9D9"/>
            <w:vAlign w:val="bottom"/>
            <w:hideMark/>
          </w:tcPr>
          <w:p w14:paraId="74F301CC"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£m</w:t>
            </w:r>
          </w:p>
        </w:tc>
        <w:tc>
          <w:tcPr>
            <w:tcW w:w="1217" w:type="dxa"/>
            <w:tcBorders>
              <w:top w:val="nil"/>
              <w:left w:val="nil"/>
              <w:bottom w:val="single" w:sz="4" w:space="0" w:color="auto"/>
              <w:right w:val="single" w:sz="4" w:space="0" w:color="auto"/>
            </w:tcBorders>
            <w:shd w:val="clear" w:color="000000" w:fill="D9D9D9"/>
            <w:vAlign w:val="bottom"/>
            <w:hideMark/>
          </w:tcPr>
          <w:p w14:paraId="2998DD68"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£m</w:t>
            </w:r>
          </w:p>
        </w:tc>
        <w:tc>
          <w:tcPr>
            <w:tcW w:w="1178" w:type="dxa"/>
            <w:tcBorders>
              <w:top w:val="nil"/>
              <w:left w:val="nil"/>
              <w:bottom w:val="single" w:sz="4" w:space="0" w:color="auto"/>
              <w:right w:val="single" w:sz="4" w:space="0" w:color="auto"/>
            </w:tcBorders>
            <w:shd w:val="clear" w:color="000000" w:fill="D9D9D9"/>
            <w:vAlign w:val="bottom"/>
            <w:hideMark/>
          </w:tcPr>
          <w:p w14:paraId="6872A0A4"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£m</w:t>
            </w:r>
          </w:p>
        </w:tc>
        <w:tc>
          <w:tcPr>
            <w:tcW w:w="1178" w:type="dxa"/>
            <w:tcBorders>
              <w:top w:val="nil"/>
              <w:left w:val="nil"/>
              <w:bottom w:val="single" w:sz="4" w:space="0" w:color="auto"/>
              <w:right w:val="single" w:sz="4" w:space="0" w:color="auto"/>
            </w:tcBorders>
            <w:shd w:val="clear" w:color="000000" w:fill="D9D9D9"/>
            <w:vAlign w:val="bottom"/>
            <w:hideMark/>
          </w:tcPr>
          <w:p w14:paraId="1089A6D2"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£m</w:t>
            </w:r>
          </w:p>
        </w:tc>
        <w:tc>
          <w:tcPr>
            <w:tcW w:w="1178" w:type="dxa"/>
            <w:tcBorders>
              <w:top w:val="nil"/>
              <w:left w:val="nil"/>
              <w:bottom w:val="single" w:sz="4" w:space="0" w:color="auto"/>
              <w:right w:val="single" w:sz="4" w:space="0" w:color="auto"/>
            </w:tcBorders>
            <w:shd w:val="clear" w:color="000000" w:fill="D9D9D9"/>
            <w:vAlign w:val="bottom"/>
            <w:hideMark/>
          </w:tcPr>
          <w:p w14:paraId="0BD187B4"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w:t>
            </w:r>
          </w:p>
        </w:tc>
      </w:tr>
      <w:tr w:rsidR="00510203" w:rsidRPr="00D4416A" w14:paraId="50156CD4" w14:textId="77777777" w:rsidTr="00E118FC">
        <w:trPr>
          <w:trHeight w:val="559"/>
        </w:trPr>
        <w:tc>
          <w:tcPr>
            <w:tcW w:w="710" w:type="dxa"/>
            <w:tcBorders>
              <w:top w:val="nil"/>
              <w:left w:val="single" w:sz="4" w:space="0" w:color="auto"/>
              <w:bottom w:val="single" w:sz="4" w:space="0" w:color="auto"/>
              <w:right w:val="single" w:sz="4" w:space="0" w:color="auto"/>
            </w:tcBorders>
            <w:shd w:val="clear" w:color="000000" w:fill="FFFFFF"/>
            <w:noWrap/>
            <w:hideMark/>
          </w:tcPr>
          <w:p w14:paraId="1097CB6E"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3.1.1</w:t>
            </w:r>
          </w:p>
        </w:tc>
        <w:tc>
          <w:tcPr>
            <w:tcW w:w="3102" w:type="dxa"/>
            <w:tcBorders>
              <w:top w:val="nil"/>
              <w:left w:val="nil"/>
              <w:bottom w:val="single" w:sz="4" w:space="0" w:color="auto"/>
              <w:right w:val="single" w:sz="4" w:space="0" w:color="auto"/>
            </w:tcBorders>
            <w:shd w:val="clear" w:color="000000" w:fill="FFFFFF"/>
            <w:hideMark/>
          </w:tcPr>
          <w:p w14:paraId="2A640225" w14:textId="77777777" w:rsidR="00510203" w:rsidRPr="00D4416A" w:rsidRDefault="00510203" w:rsidP="00664924">
            <w:pPr>
              <w:spacing w:after="0"/>
              <w:jc w:val="left"/>
              <w:rPr>
                <w:rFonts w:eastAsia="Times New Roman" w:cs="Arial"/>
                <w:sz w:val="20"/>
                <w:szCs w:val="20"/>
                <w:lang w:eastAsia="en-GB"/>
              </w:rPr>
            </w:pPr>
            <w:r w:rsidRPr="00D4416A">
              <w:rPr>
                <w:rFonts w:eastAsia="Times New Roman" w:cs="Arial"/>
                <w:sz w:val="20"/>
                <w:szCs w:val="20"/>
                <w:lang w:eastAsia="en-GB"/>
              </w:rPr>
              <w:t>DISABILITY (adults)</w:t>
            </w:r>
          </w:p>
        </w:tc>
        <w:tc>
          <w:tcPr>
            <w:tcW w:w="1150" w:type="dxa"/>
            <w:tcBorders>
              <w:top w:val="nil"/>
              <w:left w:val="nil"/>
              <w:bottom w:val="single" w:sz="4" w:space="0" w:color="auto"/>
              <w:right w:val="single" w:sz="4" w:space="0" w:color="auto"/>
            </w:tcBorders>
            <w:shd w:val="clear" w:color="000000" w:fill="FFFFFF"/>
            <w:hideMark/>
          </w:tcPr>
          <w:p w14:paraId="59B31CB7"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-3.493 </w:t>
            </w:r>
          </w:p>
        </w:tc>
        <w:tc>
          <w:tcPr>
            <w:tcW w:w="1217" w:type="dxa"/>
            <w:tcBorders>
              <w:top w:val="nil"/>
              <w:left w:val="nil"/>
              <w:bottom w:val="single" w:sz="4" w:space="0" w:color="auto"/>
              <w:right w:val="single" w:sz="4" w:space="0" w:color="auto"/>
            </w:tcBorders>
            <w:shd w:val="clear" w:color="000000" w:fill="FFFFFF"/>
            <w:hideMark/>
          </w:tcPr>
          <w:p w14:paraId="47616B47"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-4.035 </w:t>
            </w:r>
          </w:p>
        </w:tc>
        <w:tc>
          <w:tcPr>
            <w:tcW w:w="1178" w:type="dxa"/>
            <w:tcBorders>
              <w:top w:val="nil"/>
              <w:left w:val="nil"/>
              <w:bottom w:val="single" w:sz="4" w:space="0" w:color="auto"/>
              <w:right w:val="single" w:sz="4" w:space="0" w:color="auto"/>
            </w:tcBorders>
            <w:shd w:val="clear" w:color="000000" w:fill="FFFFFF"/>
            <w:hideMark/>
          </w:tcPr>
          <w:p w14:paraId="7F5D519D"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-0.542 </w:t>
            </w:r>
          </w:p>
        </w:tc>
        <w:tc>
          <w:tcPr>
            <w:tcW w:w="1178" w:type="dxa"/>
            <w:tcBorders>
              <w:top w:val="nil"/>
              <w:left w:val="nil"/>
              <w:bottom w:val="single" w:sz="4" w:space="0" w:color="auto"/>
              <w:right w:val="single" w:sz="4" w:space="0" w:color="auto"/>
            </w:tcBorders>
            <w:shd w:val="clear" w:color="000000" w:fill="FFFFFF"/>
            <w:hideMark/>
          </w:tcPr>
          <w:p w14:paraId="3A10F789"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-0.442 </w:t>
            </w:r>
          </w:p>
        </w:tc>
        <w:tc>
          <w:tcPr>
            <w:tcW w:w="1178" w:type="dxa"/>
            <w:tcBorders>
              <w:top w:val="nil"/>
              <w:left w:val="nil"/>
              <w:bottom w:val="single" w:sz="4" w:space="0" w:color="auto"/>
              <w:right w:val="single" w:sz="4" w:space="0" w:color="auto"/>
            </w:tcBorders>
            <w:shd w:val="clear" w:color="000000" w:fill="FFFFFF"/>
            <w:hideMark/>
          </w:tcPr>
          <w:p w14:paraId="37F51438"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-15.52%</w:t>
            </w:r>
          </w:p>
        </w:tc>
      </w:tr>
      <w:tr w:rsidR="00510203" w:rsidRPr="00D4416A" w14:paraId="4554779A" w14:textId="77777777" w:rsidTr="00E118FC">
        <w:trPr>
          <w:trHeight w:val="559"/>
        </w:trPr>
        <w:tc>
          <w:tcPr>
            <w:tcW w:w="710" w:type="dxa"/>
            <w:tcBorders>
              <w:top w:val="nil"/>
              <w:left w:val="single" w:sz="4" w:space="0" w:color="auto"/>
              <w:bottom w:val="single" w:sz="4" w:space="0" w:color="auto"/>
              <w:right w:val="single" w:sz="4" w:space="0" w:color="auto"/>
            </w:tcBorders>
            <w:shd w:val="clear" w:color="000000" w:fill="FFFFFF"/>
            <w:noWrap/>
            <w:hideMark/>
          </w:tcPr>
          <w:p w14:paraId="60FCDB9A"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3.1.2</w:t>
            </w:r>
          </w:p>
        </w:tc>
        <w:tc>
          <w:tcPr>
            <w:tcW w:w="3102" w:type="dxa"/>
            <w:tcBorders>
              <w:top w:val="nil"/>
              <w:left w:val="nil"/>
              <w:bottom w:val="single" w:sz="4" w:space="0" w:color="auto"/>
              <w:right w:val="single" w:sz="4" w:space="0" w:color="auto"/>
            </w:tcBorders>
            <w:shd w:val="clear" w:color="000000" w:fill="FFFFFF"/>
            <w:hideMark/>
          </w:tcPr>
          <w:p w14:paraId="5F8193F0" w14:textId="77777777" w:rsidR="00510203" w:rsidRPr="00D4416A" w:rsidRDefault="00510203" w:rsidP="00664924">
            <w:pPr>
              <w:spacing w:after="0"/>
              <w:jc w:val="left"/>
              <w:rPr>
                <w:rFonts w:eastAsia="Times New Roman" w:cs="Arial"/>
                <w:sz w:val="20"/>
                <w:szCs w:val="20"/>
                <w:lang w:eastAsia="en-GB"/>
              </w:rPr>
            </w:pPr>
            <w:r w:rsidRPr="00D4416A">
              <w:rPr>
                <w:rFonts w:eastAsia="Times New Roman" w:cs="Arial"/>
                <w:sz w:val="20"/>
                <w:szCs w:val="20"/>
                <w:lang w:eastAsia="en-GB"/>
              </w:rPr>
              <w:t>OLDER PEOPLE</w:t>
            </w:r>
          </w:p>
        </w:tc>
        <w:tc>
          <w:tcPr>
            <w:tcW w:w="1150" w:type="dxa"/>
            <w:tcBorders>
              <w:top w:val="nil"/>
              <w:left w:val="nil"/>
              <w:bottom w:val="single" w:sz="4" w:space="0" w:color="auto"/>
              <w:right w:val="single" w:sz="4" w:space="0" w:color="auto"/>
            </w:tcBorders>
            <w:shd w:val="clear" w:color="000000" w:fill="FFFFFF"/>
            <w:hideMark/>
          </w:tcPr>
          <w:p w14:paraId="091534BC"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1.239 </w:t>
            </w:r>
          </w:p>
        </w:tc>
        <w:tc>
          <w:tcPr>
            <w:tcW w:w="1217" w:type="dxa"/>
            <w:tcBorders>
              <w:top w:val="nil"/>
              <w:left w:val="nil"/>
              <w:bottom w:val="single" w:sz="4" w:space="0" w:color="auto"/>
              <w:right w:val="single" w:sz="4" w:space="0" w:color="auto"/>
            </w:tcBorders>
            <w:shd w:val="clear" w:color="000000" w:fill="FFFFFF"/>
            <w:hideMark/>
          </w:tcPr>
          <w:p w14:paraId="0D94BBE9"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2.005 </w:t>
            </w:r>
          </w:p>
        </w:tc>
        <w:tc>
          <w:tcPr>
            <w:tcW w:w="1178" w:type="dxa"/>
            <w:tcBorders>
              <w:top w:val="nil"/>
              <w:left w:val="nil"/>
              <w:bottom w:val="single" w:sz="4" w:space="0" w:color="auto"/>
              <w:right w:val="single" w:sz="4" w:space="0" w:color="auto"/>
            </w:tcBorders>
            <w:shd w:val="clear" w:color="000000" w:fill="FFFFFF"/>
            <w:hideMark/>
          </w:tcPr>
          <w:p w14:paraId="1DF9822F"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0.766 </w:t>
            </w:r>
          </w:p>
        </w:tc>
        <w:tc>
          <w:tcPr>
            <w:tcW w:w="1178" w:type="dxa"/>
            <w:tcBorders>
              <w:top w:val="nil"/>
              <w:left w:val="nil"/>
              <w:bottom w:val="single" w:sz="4" w:space="0" w:color="auto"/>
              <w:right w:val="single" w:sz="4" w:space="0" w:color="auto"/>
            </w:tcBorders>
            <w:shd w:val="clear" w:color="000000" w:fill="FFFFFF"/>
            <w:hideMark/>
          </w:tcPr>
          <w:p w14:paraId="080402D2"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0.898 </w:t>
            </w:r>
          </w:p>
        </w:tc>
        <w:tc>
          <w:tcPr>
            <w:tcW w:w="1178" w:type="dxa"/>
            <w:tcBorders>
              <w:top w:val="nil"/>
              <w:left w:val="nil"/>
              <w:bottom w:val="single" w:sz="4" w:space="0" w:color="auto"/>
              <w:right w:val="single" w:sz="4" w:space="0" w:color="auto"/>
            </w:tcBorders>
            <w:shd w:val="clear" w:color="000000" w:fill="FFFFFF"/>
            <w:hideMark/>
          </w:tcPr>
          <w:p w14:paraId="1CECD92E"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61.82%</w:t>
            </w:r>
          </w:p>
        </w:tc>
      </w:tr>
      <w:tr w:rsidR="00510203" w:rsidRPr="00D4416A" w14:paraId="4464B583" w14:textId="77777777" w:rsidTr="00E118FC">
        <w:trPr>
          <w:trHeight w:val="559"/>
        </w:trPr>
        <w:tc>
          <w:tcPr>
            <w:tcW w:w="710" w:type="dxa"/>
            <w:tcBorders>
              <w:top w:val="nil"/>
              <w:left w:val="single" w:sz="4" w:space="0" w:color="auto"/>
              <w:bottom w:val="single" w:sz="4" w:space="0" w:color="auto"/>
              <w:right w:val="single" w:sz="4" w:space="0" w:color="auto"/>
            </w:tcBorders>
            <w:shd w:val="clear" w:color="000000" w:fill="FFFFFF"/>
            <w:noWrap/>
            <w:hideMark/>
          </w:tcPr>
          <w:p w14:paraId="547D2A22"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3.1.3</w:t>
            </w:r>
          </w:p>
        </w:tc>
        <w:tc>
          <w:tcPr>
            <w:tcW w:w="3102" w:type="dxa"/>
            <w:tcBorders>
              <w:top w:val="nil"/>
              <w:left w:val="nil"/>
              <w:bottom w:val="single" w:sz="4" w:space="0" w:color="auto"/>
              <w:right w:val="single" w:sz="4" w:space="0" w:color="auto"/>
            </w:tcBorders>
            <w:shd w:val="clear" w:color="000000" w:fill="FFFFFF"/>
            <w:hideMark/>
          </w:tcPr>
          <w:p w14:paraId="60C6365D" w14:textId="77777777" w:rsidR="00510203" w:rsidRPr="00D4416A" w:rsidRDefault="00510203" w:rsidP="00664924">
            <w:pPr>
              <w:spacing w:after="0"/>
              <w:jc w:val="left"/>
              <w:rPr>
                <w:rFonts w:eastAsia="Times New Roman" w:cs="Arial"/>
                <w:sz w:val="20"/>
                <w:szCs w:val="20"/>
                <w:lang w:eastAsia="en-GB"/>
              </w:rPr>
            </w:pPr>
            <w:r w:rsidRPr="00D4416A">
              <w:rPr>
                <w:rFonts w:eastAsia="Times New Roman" w:cs="Arial"/>
                <w:sz w:val="20"/>
                <w:szCs w:val="20"/>
                <w:lang w:eastAsia="en-GB"/>
              </w:rPr>
              <w:t>LEARNING DISABILITIES, AUTISM &amp; MENTAL HEALTH</w:t>
            </w:r>
          </w:p>
        </w:tc>
        <w:tc>
          <w:tcPr>
            <w:tcW w:w="1150" w:type="dxa"/>
            <w:tcBorders>
              <w:top w:val="nil"/>
              <w:left w:val="nil"/>
              <w:bottom w:val="single" w:sz="4" w:space="0" w:color="auto"/>
              <w:right w:val="single" w:sz="4" w:space="0" w:color="auto"/>
            </w:tcBorders>
            <w:shd w:val="clear" w:color="auto" w:fill="auto"/>
            <w:hideMark/>
          </w:tcPr>
          <w:p w14:paraId="2F2069B9"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177.962 </w:t>
            </w:r>
          </w:p>
        </w:tc>
        <w:tc>
          <w:tcPr>
            <w:tcW w:w="1217" w:type="dxa"/>
            <w:tcBorders>
              <w:top w:val="nil"/>
              <w:left w:val="nil"/>
              <w:bottom w:val="single" w:sz="4" w:space="0" w:color="auto"/>
              <w:right w:val="single" w:sz="4" w:space="0" w:color="auto"/>
            </w:tcBorders>
            <w:shd w:val="clear" w:color="000000" w:fill="FFFFFF"/>
            <w:hideMark/>
          </w:tcPr>
          <w:p w14:paraId="0984B32E"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169.368 </w:t>
            </w:r>
          </w:p>
        </w:tc>
        <w:tc>
          <w:tcPr>
            <w:tcW w:w="1178" w:type="dxa"/>
            <w:tcBorders>
              <w:top w:val="nil"/>
              <w:left w:val="nil"/>
              <w:bottom w:val="single" w:sz="4" w:space="0" w:color="auto"/>
              <w:right w:val="single" w:sz="4" w:space="0" w:color="auto"/>
            </w:tcBorders>
            <w:shd w:val="clear" w:color="000000" w:fill="FFFFFF"/>
            <w:hideMark/>
          </w:tcPr>
          <w:p w14:paraId="42DA9E70"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-8.594 </w:t>
            </w:r>
          </w:p>
        </w:tc>
        <w:tc>
          <w:tcPr>
            <w:tcW w:w="1178" w:type="dxa"/>
            <w:tcBorders>
              <w:top w:val="nil"/>
              <w:left w:val="nil"/>
              <w:bottom w:val="single" w:sz="4" w:space="0" w:color="auto"/>
              <w:right w:val="single" w:sz="4" w:space="0" w:color="auto"/>
            </w:tcBorders>
            <w:shd w:val="clear" w:color="000000" w:fill="FFFFFF"/>
            <w:hideMark/>
          </w:tcPr>
          <w:p w14:paraId="57FD0767"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-8.638 </w:t>
            </w:r>
          </w:p>
        </w:tc>
        <w:tc>
          <w:tcPr>
            <w:tcW w:w="1178" w:type="dxa"/>
            <w:tcBorders>
              <w:top w:val="nil"/>
              <w:left w:val="nil"/>
              <w:bottom w:val="single" w:sz="4" w:space="0" w:color="auto"/>
              <w:right w:val="single" w:sz="4" w:space="0" w:color="auto"/>
            </w:tcBorders>
            <w:shd w:val="clear" w:color="000000" w:fill="FFFFFF"/>
            <w:hideMark/>
          </w:tcPr>
          <w:p w14:paraId="2111D6A8"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-4.83%</w:t>
            </w:r>
          </w:p>
        </w:tc>
      </w:tr>
      <w:tr w:rsidR="00510203" w:rsidRPr="00D4416A" w14:paraId="6E425885" w14:textId="77777777" w:rsidTr="00E118FC">
        <w:trPr>
          <w:trHeight w:val="559"/>
        </w:trPr>
        <w:tc>
          <w:tcPr>
            <w:tcW w:w="710" w:type="dxa"/>
            <w:tcBorders>
              <w:top w:val="nil"/>
              <w:left w:val="single" w:sz="4" w:space="0" w:color="auto"/>
              <w:bottom w:val="single" w:sz="4" w:space="0" w:color="auto"/>
              <w:right w:val="single" w:sz="4" w:space="0" w:color="auto"/>
            </w:tcBorders>
            <w:shd w:val="clear" w:color="auto" w:fill="auto"/>
            <w:noWrap/>
            <w:hideMark/>
          </w:tcPr>
          <w:p w14:paraId="66942B31" w14:textId="77777777" w:rsidR="00510203" w:rsidRPr="00D4416A" w:rsidRDefault="00510203" w:rsidP="00E118FC">
            <w:pPr>
              <w:spacing w:after="0"/>
              <w:jc w:val="center"/>
              <w:rPr>
                <w:rFonts w:eastAsia="Times New Roman" w:cs="Arial"/>
                <w:b/>
                <w:bCs/>
                <w:sz w:val="20"/>
                <w:szCs w:val="20"/>
                <w:lang w:eastAsia="en-GB"/>
              </w:rPr>
            </w:pPr>
            <w:r w:rsidRPr="00D4416A">
              <w:rPr>
                <w:rFonts w:eastAsia="Times New Roman" w:cs="Arial"/>
                <w:b/>
                <w:bCs/>
                <w:sz w:val="20"/>
                <w:szCs w:val="20"/>
                <w:lang w:eastAsia="en-GB"/>
              </w:rPr>
              <w:t>3.1.4</w:t>
            </w:r>
          </w:p>
        </w:tc>
        <w:tc>
          <w:tcPr>
            <w:tcW w:w="3102" w:type="dxa"/>
            <w:tcBorders>
              <w:top w:val="nil"/>
              <w:left w:val="nil"/>
              <w:bottom w:val="single" w:sz="4" w:space="0" w:color="auto"/>
              <w:right w:val="single" w:sz="4" w:space="0" w:color="auto"/>
            </w:tcBorders>
            <w:shd w:val="clear" w:color="auto" w:fill="auto"/>
            <w:hideMark/>
          </w:tcPr>
          <w:p w14:paraId="5D49F760" w14:textId="77777777" w:rsidR="00510203" w:rsidRPr="00D4416A" w:rsidRDefault="00510203" w:rsidP="00664924">
            <w:pPr>
              <w:spacing w:after="0"/>
              <w:jc w:val="left"/>
              <w:rPr>
                <w:rFonts w:eastAsia="Times New Roman" w:cs="Arial"/>
                <w:sz w:val="20"/>
                <w:szCs w:val="20"/>
                <w:lang w:eastAsia="en-GB"/>
              </w:rPr>
            </w:pPr>
            <w:r w:rsidRPr="00D4416A">
              <w:rPr>
                <w:rFonts w:eastAsia="Times New Roman" w:cs="Arial"/>
                <w:sz w:val="20"/>
                <w:szCs w:val="20"/>
                <w:lang w:eastAsia="en-GB"/>
              </w:rPr>
              <w:t>SOCIAL CARE SERVICES (adults)</w:t>
            </w:r>
          </w:p>
        </w:tc>
        <w:tc>
          <w:tcPr>
            <w:tcW w:w="1150" w:type="dxa"/>
            <w:tcBorders>
              <w:top w:val="nil"/>
              <w:left w:val="nil"/>
              <w:bottom w:val="single" w:sz="4" w:space="0" w:color="auto"/>
              <w:right w:val="single" w:sz="4" w:space="0" w:color="auto"/>
            </w:tcBorders>
            <w:shd w:val="clear" w:color="000000" w:fill="FFFFFF"/>
            <w:hideMark/>
          </w:tcPr>
          <w:p w14:paraId="79A41263"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151.660 </w:t>
            </w:r>
          </w:p>
        </w:tc>
        <w:tc>
          <w:tcPr>
            <w:tcW w:w="1217" w:type="dxa"/>
            <w:tcBorders>
              <w:top w:val="nil"/>
              <w:left w:val="nil"/>
              <w:bottom w:val="single" w:sz="4" w:space="0" w:color="auto"/>
              <w:right w:val="single" w:sz="4" w:space="0" w:color="auto"/>
            </w:tcBorders>
            <w:shd w:val="clear" w:color="000000" w:fill="FFFFFF"/>
            <w:hideMark/>
          </w:tcPr>
          <w:p w14:paraId="26624B1D"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157.281 </w:t>
            </w:r>
          </w:p>
        </w:tc>
        <w:tc>
          <w:tcPr>
            <w:tcW w:w="1178" w:type="dxa"/>
            <w:tcBorders>
              <w:top w:val="nil"/>
              <w:left w:val="nil"/>
              <w:bottom w:val="single" w:sz="4" w:space="0" w:color="auto"/>
              <w:right w:val="single" w:sz="4" w:space="0" w:color="auto"/>
            </w:tcBorders>
            <w:shd w:val="clear" w:color="000000" w:fill="FFFFFF"/>
            <w:hideMark/>
          </w:tcPr>
          <w:p w14:paraId="23E867C9"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5.621 </w:t>
            </w:r>
          </w:p>
        </w:tc>
        <w:tc>
          <w:tcPr>
            <w:tcW w:w="1178" w:type="dxa"/>
            <w:tcBorders>
              <w:top w:val="nil"/>
              <w:left w:val="nil"/>
              <w:bottom w:val="single" w:sz="4" w:space="0" w:color="auto"/>
              <w:right w:val="single" w:sz="4" w:space="0" w:color="auto"/>
            </w:tcBorders>
            <w:shd w:val="clear" w:color="000000" w:fill="FFFFFF"/>
            <w:hideMark/>
          </w:tcPr>
          <w:p w14:paraId="25E2521A"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 xml:space="preserve">6.600 </w:t>
            </w:r>
          </w:p>
        </w:tc>
        <w:tc>
          <w:tcPr>
            <w:tcW w:w="1178" w:type="dxa"/>
            <w:tcBorders>
              <w:top w:val="nil"/>
              <w:left w:val="nil"/>
              <w:bottom w:val="single" w:sz="4" w:space="0" w:color="auto"/>
              <w:right w:val="single" w:sz="4" w:space="0" w:color="auto"/>
            </w:tcBorders>
            <w:shd w:val="clear" w:color="000000" w:fill="FFFFFF"/>
            <w:hideMark/>
          </w:tcPr>
          <w:p w14:paraId="76747F3E" w14:textId="77777777" w:rsidR="00510203" w:rsidRPr="00D4416A" w:rsidRDefault="00510203" w:rsidP="00E118FC">
            <w:pPr>
              <w:spacing w:after="0"/>
              <w:jc w:val="right"/>
              <w:rPr>
                <w:rFonts w:eastAsia="Times New Roman" w:cs="Arial"/>
                <w:sz w:val="20"/>
                <w:szCs w:val="20"/>
                <w:lang w:eastAsia="en-GB"/>
              </w:rPr>
            </w:pPr>
            <w:r w:rsidRPr="00D4416A">
              <w:rPr>
                <w:rFonts w:eastAsia="Times New Roman" w:cs="Arial"/>
                <w:sz w:val="20"/>
                <w:szCs w:val="20"/>
                <w:lang w:eastAsia="en-GB"/>
              </w:rPr>
              <w:t>3.71%</w:t>
            </w:r>
          </w:p>
        </w:tc>
      </w:tr>
      <w:tr w:rsidR="00510203" w:rsidRPr="00D4416A" w14:paraId="198B64F3" w14:textId="77777777" w:rsidTr="00E118FC">
        <w:trPr>
          <w:trHeight w:val="559"/>
        </w:trPr>
        <w:tc>
          <w:tcPr>
            <w:tcW w:w="710" w:type="dxa"/>
            <w:tcBorders>
              <w:top w:val="nil"/>
              <w:left w:val="single" w:sz="4" w:space="0" w:color="auto"/>
              <w:bottom w:val="single" w:sz="4" w:space="0" w:color="auto"/>
              <w:right w:val="single" w:sz="4" w:space="0" w:color="auto"/>
            </w:tcBorders>
            <w:shd w:val="clear" w:color="000000" w:fill="D9D9D9"/>
            <w:vAlign w:val="center"/>
            <w:hideMark/>
          </w:tcPr>
          <w:p w14:paraId="024ACED8" w14:textId="77777777" w:rsidR="00510203" w:rsidRPr="00D4416A" w:rsidRDefault="00510203" w:rsidP="00E118FC">
            <w:pPr>
              <w:spacing w:after="0"/>
              <w:jc w:val="right"/>
              <w:rPr>
                <w:rFonts w:eastAsia="Times New Roman" w:cs="Arial"/>
                <w:b/>
                <w:bCs/>
                <w:sz w:val="20"/>
                <w:szCs w:val="20"/>
                <w:lang w:eastAsia="en-GB"/>
              </w:rPr>
            </w:pPr>
            <w:r w:rsidRPr="00D4416A">
              <w:rPr>
                <w:rFonts w:eastAsia="Times New Roman" w:cs="Arial"/>
                <w:b/>
                <w:bCs/>
                <w:sz w:val="20"/>
                <w:szCs w:val="20"/>
                <w:lang w:eastAsia="en-GB"/>
              </w:rPr>
              <w:t> </w:t>
            </w:r>
          </w:p>
        </w:tc>
        <w:tc>
          <w:tcPr>
            <w:tcW w:w="3102" w:type="dxa"/>
            <w:tcBorders>
              <w:top w:val="nil"/>
              <w:left w:val="nil"/>
              <w:bottom w:val="single" w:sz="4" w:space="0" w:color="auto"/>
              <w:right w:val="single" w:sz="4" w:space="0" w:color="auto"/>
            </w:tcBorders>
            <w:shd w:val="clear" w:color="000000" w:fill="D9D9D9"/>
            <w:vAlign w:val="center"/>
            <w:hideMark/>
          </w:tcPr>
          <w:p w14:paraId="0AEDF6EF" w14:textId="77777777" w:rsidR="00510203" w:rsidRPr="00D4416A" w:rsidRDefault="00510203" w:rsidP="00E118FC">
            <w:pPr>
              <w:spacing w:after="0"/>
              <w:rPr>
                <w:rFonts w:eastAsia="Times New Roman" w:cs="Arial"/>
                <w:b/>
                <w:bCs/>
                <w:sz w:val="20"/>
                <w:szCs w:val="20"/>
                <w:lang w:eastAsia="en-GB"/>
              </w:rPr>
            </w:pPr>
            <w:r w:rsidRPr="00D4416A">
              <w:rPr>
                <w:rFonts w:eastAsia="Times New Roman" w:cs="Arial"/>
                <w:b/>
                <w:bCs/>
                <w:sz w:val="20"/>
                <w:szCs w:val="20"/>
                <w:lang w:eastAsia="en-GB"/>
              </w:rPr>
              <w:t>TOTAL - ADULT SERVICES</w:t>
            </w:r>
          </w:p>
        </w:tc>
        <w:tc>
          <w:tcPr>
            <w:tcW w:w="1150" w:type="dxa"/>
            <w:tcBorders>
              <w:top w:val="nil"/>
              <w:left w:val="nil"/>
              <w:bottom w:val="single" w:sz="4" w:space="0" w:color="auto"/>
              <w:right w:val="single" w:sz="4" w:space="0" w:color="auto"/>
            </w:tcBorders>
            <w:shd w:val="clear" w:color="000000" w:fill="D9D9D9"/>
            <w:vAlign w:val="center"/>
            <w:hideMark/>
          </w:tcPr>
          <w:p w14:paraId="6626E6B9" w14:textId="77777777" w:rsidR="00510203" w:rsidRPr="00D4416A" w:rsidRDefault="00510203" w:rsidP="00E118FC">
            <w:pPr>
              <w:spacing w:after="0"/>
              <w:jc w:val="right"/>
              <w:rPr>
                <w:rFonts w:eastAsia="Times New Roman" w:cs="Arial"/>
                <w:b/>
                <w:bCs/>
                <w:sz w:val="20"/>
                <w:szCs w:val="20"/>
                <w:lang w:eastAsia="en-GB"/>
              </w:rPr>
            </w:pPr>
            <w:r w:rsidRPr="00D4416A">
              <w:rPr>
                <w:rFonts w:eastAsia="Times New Roman" w:cs="Arial"/>
                <w:b/>
                <w:bCs/>
                <w:sz w:val="20"/>
                <w:szCs w:val="20"/>
                <w:lang w:eastAsia="en-GB"/>
              </w:rPr>
              <w:t xml:space="preserve">327.368 </w:t>
            </w:r>
          </w:p>
        </w:tc>
        <w:tc>
          <w:tcPr>
            <w:tcW w:w="1217" w:type="dxa"/>
            <w:tcBorders>
              <w:top w:val="nil"/>
              <w:left w:val="nil"/>
              <w:bottom w:val="single" w:sz="4" w:space="0" w:color="auto"/>
              <w:right w:val="single" w:sz="4" w:space="0" w:color="auto"/>
            </w:tcBorders>
            <w:shd w:val="clear" w:color="000000" w:fill="D9D9D9"/>
            <w:vAlign w:val="center"/>
            <w:hideMark/>
          </w:tcPr>
          <w:p w14:paraId="7D6E2501" w14:textId="77777777" w:rsidR="00510203" w:rsidRPr="00D4416A" w:rsidRDefault="00510203" w:rsidP="00E118FC">
            <w:pPr>
              <w:spacing w:after="0"/>
              <w:jc w:val="right"/>
              <w:rPr>
                <w:rFonts w:eastAsia="Times New Roman" w:cs="Arial"/>
                <w:b/>
                <w:bCs/>
                <w:sz w:val="20"/>
                <w:szCs w:val="20"/>
                <w:lang w:eastAsia="en-GB"/>
              </w:rPr>
            </w:pPr>
            <w:r w:rsidRPr="00D4416A">
              <w:rPr>
                <w:rFonts w:eastAsia="Times New Roman" w:cs="Arial"/>
                <w:b/>
                <w:bCs/>
                <w:sz w:val="20"/>
                <w:szCs w:val="20"/>
                <w:lang w:eastAsia="en-GB"/>
              </w:rPr>
              <w:t xml:space="preserve">324.619 </w:t>
            </w:r>
          </w:p>
        </w:tc>
        <w:tc>
          <w:tcPr>
            <w:tcW w:w="1178" w:type="dxa"/>
            <w:tcBorders>
              <w:top w:val="nil"/>
              <w:left w:val="nil"/>
              <w:bottom w:val="single" w:sz="4" w:space="0" w:color="auto"/>
              <w:right w:val="single" w:sz="4" w:space="0" w:color="auto"/>
            </w:tcBorders>
            <w:shd w:val="clear" w:color="000000" w:fill="D9D9D9"/>
            <w:vAlign w:val="center"/>
            <w:hideMark/>
          </w:tcPr>
          <w:p w14:paraId="058E982B" w14:textId="77777777" w:rsidR="00510203" w:rsidRPr="00D4416A" w:rsidRDefault="00510203" w:rsidP="00E118FC">
            <w:pPr>
              <w:spacing w:after="0"/>
              <w:jc w:val="right"/>
              <w:rPr>
                <w:rFonts w:eastAsia="Times New Roman" w:cs="Arial"/>
                <w:b/>
                <w:bCs/>
                <w:sz w:val="20"/>
                <w:szCs w:val="20"/>
                <w:lang w:eastAsia="en-GB"/>
              </w:rPr>
            </w:pPr>
            <w:r w:rsidRPr="00D4416A">
              <w:rPr>
                <w:rFonts w:eastAsia="Times New Roman" w:cs="Arial"/>
                <w:b/>
                <w:bCs/>
                <w:sz w:val="20"/>
                <w:szCs w:val="20"/>
                <w:lang w:eastAsia="en-GB"/>
              </w:rPr>
              <w:t xml:space="preserve">-2.749 </w:t>
            </w:r>
          </w:p>
        </w:tc>
        <w:tc>
          <w:tcPr>
            <w:tcW w:w="1178" w:type="dxa"/>
            <w:tcBorders>
              <w:top w:val="nil"/>
              <w:left w:val="nil"/>
              <w:bottom w:val="single" w:sz="4" w:space="0" w:color="auto"/>
              <w:right w:val="single" w:sz="4" w:space="0" w:color="auto"/>
            </w:tcBorders>
            <w:shd w:val="clear" w:color="000000" w:fill="D9D9D9"/>
            <w:vAlign w:val="center"/>
            <w:hideMark/>
          </w:tcPr>
          <w:p w14:paraId="4A706663" w14:textId="77777777" w:rsidR="00510203" w:rsidRPr="00D4416A" w:rsidRDefault="00510203" w:rsidP="00E118FC">
            <w:pPr>
              <w:spacing w:after="0"/>
              <w:jc w:val="right"/>
              <w:rPr>
                <w:rFonts w:eastAsia="Times New Roman" w:cs="Arial"/>
                <w:b/>
                <w:bCs/>
                <w:sz w:val="20"/>
                <w:szCs w:val="20"/>
                <w:lang w:eastAsia="en-GB"/>
              </w:rPr>
            </w:pPr>
            <w:r w:rsidRPr="00D4416A">
              <w:rPr>
                <w:rFonts w:eastAsia="Times New Roman" w:cs="Arial"/>
                <w:b/>
                <w:bCs/>
                <w:sz w:val="20"/>
                <w:szCs w:val="20"/>
                <w:lang w:eastAsia="en-GB"/>
              </w:rPr>
              <w:t xml:space="preserve">-1.582 </w:t>
            </w:r>
          </w:p>
        </w:tc>
        <w:tc>
          <w:tcPr>
            <w:tcW w:w="1178" w:type="dxa"/>
            <w:tcBorders>
              <w:top w:val="nil"/>
              <w:left w:val="nil"/>
              <w:bottom w:val="single" w:sz="4" w:space="0" w:color="auto"/>
              <w:right w:val="single" w:sz="4" w:space="0" w:color="auto"/>
            </w:tcBorders>
            <w:shd w:val="clear" w:color="000000" w:fill="D9D9D9"/>
            <w:vAlign w:val="center"/>
            <w:hideMark/>
          </w:tcPr>
          <w:p w14:paraId="5514C9B7" w14:textId="77777777" w:rsidR="00510203" w:rsidRPr="00D4416A" w:rsidRDefault="00510203" w:rsidP="00E118FC">
            <w:pPr>
              <w:spacing w:after="0"/>
              <w:jc w:val="right"/>
              <w:rPr>
                <w:rFonts w:eastAsia="Times New Roman" w:cs="Arial"/>
                <w:b/>
                <w:bCs/>
                <w:sz w:val="20"/>
                <w:szCs w:val="20"/>
                <w:lang w:eastAsia="en-GB"/>
              </w:rPr>
            </w:pPr>
            <w:r w:rsidRPr="00D4416A">
              <w:rPr>
                <w:rFonts w:eastAsia="Times New Roman" w:cs="Arial"/>
                <w:b/>
                <w:bCs/>
                <w:sz w:val="20"/>
                <w:szCs w:val="20"/>
                <w:lang w:eastAsia="en-GB"/>
              </w:rPr>
              <w:t>-0.84%</w:t>
            </w:r>
          </w:p>
        </w:tc>
      </w:tr>
    </w:tbl>
    <w:p w14:paraId="13AC6E3C" w14:textId="77777777" w:rsidR="00510203" w:rsidRDefault="00510203" w:rsidP="00510203">
      <w:pPr>
        <w:spacing w:after="0"/>
        <w:rPr>
          <w:rFonts w:cs="Arial"/>
          <w:b/>
          <w:u w:val="single"/>
        </w:rPr>
      </w:pPr>
    </w:p>
    <w:p w14:paraId="590DB0DD" w14:textId="7E6B54EA" w:rsidR="00510203" w:rsidRDefault="00510203" w:rsidP="00510203">
      <w:pPr>
        <w:spacing w:after="0"/>
        <w:rPr>
          <w:rFonts w:cs="Arial"/>
        </w:rPr>
      </w:pPr>
      <w:r>
        <w:rPr>
          <w:rFonts w:cs="Arial"/>
        </w:rPr>
        <w:t xml:space="preserve">Adults Services is forecast to underspend by £2.749m. The underspend at </w:t>
      </w:r>
      <w:r w:rsidR="00664924">
        <w:rPr>
          <w:rFonts w:cs="Arial"/>
        </w:rPr>
        <w:t>Quarter 3</w:t>
      </w:r>
      <w:r>
        <w:rPr>
          <w:rFonts w:cs="Arial"/>
        </w:rPr>
        <w:t xml:space="preserve"> has improved by £1.167m compared to Quarter 2 Cabin</w:t>
      </w:r>
      <w:r w:rsidRPr="001E0338">
        <w:rPr>
          <w:rFonts w:cs="Arial"/>
        </w:rPr>
        <w:t>et monitoring.</w:t>
      </w:r>
    </w:p>
    <w:p w14:paraId="7D46E98B" w14:textId="77777777" w:rsidR="00510203" w:rsidRDefault="00510203" w:rsidP="00510203">
      <w:pPr>
        <w:spacing w:after="0"/>
        <w:rPr>
          <w:rFonts w:cs="Arial"/>
        </w:rPr>
      </w:pPr>
    </w:p>
    <w:p w14:paraId="247A82D7" w14:textId="77777777" w:rsidR="00510203" w:rsidRPr="00994FBF" w:rsidRDefault="00510203" w:rsidP="00510203">
      <w:pPr>
        <w:spacing w:after="0"/>
        <w:rPr>
          <w:rFonts w:cs="Arial"/>
        </w:rPr>
      </w:pPr>
      <w:r w:rsidRPr="00994FBF">
        <w:rPr>
          <w:rFonts w:cs="Arial"/>
        </w:rPr>
        <w:t xml:space="preserve">Disability (Adults) underspend </w:t>
      </w:r>
      <w:r>
        <w:rPr>
          <w:rFonts w:cs="Arial"/>
        </w:rPr>
        <w:t xml:space="preserve">is as a result of staff vacancies and additional income. This has </w:t>
      </w:r>
      <w:r w:rsidRPr="00994FBF">
        <w:rPr>
          <w:rFonts w:cs="Arial"/>
        </w:rPr>
        <w:t>increased by £0.1</w:t>
      </w:r>
      <w:r>
        <w:rPr>
          <w:rFonts w:cs="Arial"/>
        </w:rPr>
        <w:t>00</w:t>
      </w:r>
      <w:r w:rsidRPr="00994FBF">
        <w:rPr>
          <w:rFonts w:cs="Arial"/>
        </w:rPr>
        <w:t>m due to further staff vacancies</w:t>
      </w:r>
      <w:r>
        <w:rPr>
          <w:rFonts w:cs="Arial"/>
        </w:rPr>
        <w:t xml:space="preserve"> that the service has reported during Quarter 3</w:t>
      </w:r>
      <w:r w:rsidRPr="00994FBF">
        <w:rPr>
          <w:rFonts w:cs="Arial"/>
        </w:rPr>
        <w:t xml:space="preserve">. </w:t>
      </w:r>
    </w:p>
    <w:p w14:paraId="0AFA4A00" w14:textId="77777777" w:rsidR="00510203" w:rsidRDefault="00510203" w:rsidP="00510203">
      <w:pPr>
        <w:spacing w:after="0"/>
        <w:rPr>
          <w:rFonts w:cs="Arial"/>
        </w:rPr>
      </w:pPr>
    </w:p>
    <w:p w14:paraId="3EF597F3" w14:textId="77777777" w:rsidR="00510203" w:rsidRDefault="00510203" w:rsidP="00510203">
      <w:pPr>
        <w:spacing w:after="0"/>
        <w:rPr>
          <w:rFonts w:cs="Arial"/>
        </w:rPr>
      </w:pPr>
      <w:r>
        <w:rPr>
          <w:rFonts w:cs="Arial"/>
        </w:rPr>
        <w:t>Older People S</w:t>
      </w:r>
      <w:r w:rsidRPr="00994FBF">
        <w:rPr>
          <w:rFonts w:cs="Arial"/>
        </w:rPr>
        <w:t xml:space="preserve">ervices </w:t>
      </w:r>
      <w:r>
        <w:rPr>
          <w:rFonts w:cs="Arial"/>
        </w:rPr>
        <w:t xml:space="preserve">is forecasting an overspend due to a forecast underachievement of income and the use of agency staff to cover vacancies in the short term. This overspend is also impacted by an undeliverable saving in 2017/18 of £0.425m that has been built back into the MTFS. The forecast for this service has improved by £0.132m due to increases in income offset by increases in staff and other costs. </w:t>
      </w:r>
    </w:p>
    <w:p w14:paraId="6ED316B9" w14:textId="77777777" w:rsidR="00510203" w:rsidRDefault="00510203" w:rsidP="00510203">
      <w:pPr>
        <w:spacing w:after="0"/>
        <w:rPr>
          <w:rFonts w:cs="Arial"/>
        </w:rPr>
      </w:pPr>
    </w:p>
    <w:p w14:paraId="331BA20E" w14:textId="77777777" w:rsidR="00510203" w:rsidRDefault="00510203" w:rsidP="00664924">
      <w:pPr>
        <w:spacing w:after="0"/>
        <w:rPr>
          <w:rFonts w:cs="Arial"/>
        </w:rPr>
      </w:pPr>
      <w:r w:rsidRPr="004F177A">
        <w:rPr>
          <w:rFonts w:cs="Arial"/>
        </w:rPr>
        <w:t xml:space="preserve">Learning Disabilities, Autism &amp; Mental Health underspend has decreased slightly </w:t>
      </w:r>
      <w:r>
        <w:rPr>
          <w:rFonts w:cs="Arial"/>
        </w:rPr>
        <w:t xml:space="preserve">by £0.044m </w:t>
      </w:r>
      <w:r w:rsidRPr="004F177A">
        <w:rPr>
          <w:rFonts w:cs="Arial"/>
        </w:rPr>
        <w:t xml:space="preserve">to </w:t>
      </w:r>
      <w:r>
        <w:rPr>
          <w:rFonts w:cs="Arial"/>
        </w:rPr>
        <w:t>£8.594m. The significant elements of this are detailed below:</w:t>
      </w:r>
    </w:p>
    <w:p w14:paraId="0B803787" w14:textId="77777777" w:rsidR="00664924" w:rsidRDefault="00664924" w:rsidP="00664924">
      <w:pPr>
        <w:spacing w:after="0"/>
        <w:rPr>
          <w:rFonts w:cs="Arial"/>
        </w:rPr>
      </w:pPr>
    </w:p>
    <w:p w14:paraId="4624CDD3" w14:textId="77777777" w:rsidR="00510203" w:rsidRDefault="00510203" w:rsidP="00664924">
      <w:pPr>
        <w:pStyle w:val="ListParagraph"/>
        <w:numPr>
          <w:ilvl w:val="0"/>
          <w:numId w:val="39"/>
        </w:numPr>
        <w:autoSpaceDE/>
        <w:autoSpaceDN/>
        <w:adjustRightInd/>
        <w:spacing w:after="0" w:line="259" w:lineRule="auto"/>
        <w:rPr>
          <w:rFonts w:cs="Arial"/>
        </w:rPr>
      </w:pPr>
      <w:r w:rsidRPr="004F177A">
        <w:rPr>
          <w:rFonts w:cs="Arial"/>
        </w:rPr>
        <w:t xml:space="preserve">Learning Disabilities is forecasting an underspend of £5.720m, which is mainly as a result of the service not experiencing  the  level of demand built into the LCC budget. </w:t>
      </w:r>
    </w:p>
    <w:p w14:paraId="0CF8F039" w14:textId="77777777" w:rsidR="00510203" w:rsidRDefault="00510203" w:rsidP="00510203">
      <w:pPr>
        <w:pStyle w:val="ListParagraph"/>
        <w:rPr>
          <w:rFonts w:cs="Arial"/>
        </w:rPr>
      </w:pPr>
    </w:p>
    <w:p w14:paraId="452462A5" w14:textId="77777777" w:rsidR="00510203" w:rsidRDefault="00510203" w:rsidP="00510203">
      <w:pPr>
        <w:pStyle w:val="ListParagraph"/>
        <w:numPr>
          <w:ilvl w:val="0"/>
          <w:numId w:val="39"/>
        </w:numPr>
        <w:autoSpaceDE/>
        <w:autoSpaceDN/>
        <w:adjustRightInd/>
        <w:spacing w:after="160" w:line="259" w:lineRule="auto"/>
        <w:rPr>
          <w:rFonts w:cs="Arial"/>
        </w:rPr>
      </w:pPr>
      <w:r w:rsidRPr="004F177A">
        <w:rPr>
          <w:rFonts w:cs="Arial"/>
        </w:rPr>
        <w:t xml:space="preserve">The forecast also now includes a shortfall of £0.150m on £1.200m budgeted Learning Disabilities remodelling savings which </w:t>
      </w:r>
      <w:r>
        <w:rPr>
          <w:rFonts w:cs="Arial"/>
        </w:rPr>
        <w:t xml:space="preserve">was reported as being on target at Quarter 2. </w:t>
      </w:r>
    </w:p>
    <w:p w14:paraId="1FE926AA" w14:textId="77777777" w:rsidR="00510203" w:rsidRPr="0011473A" w:rsidRDefault="00510203" w:rsidP="00510203">
      <w:pPr>
        <w:pStyle w:val="ListParagraph"/>
        <w:rPr>
          <w:rFonts w:cs="Arial"/>
        </w:rPr>
      </w:pPr>
    </w:p>
    <w:p w14:paraId="4E7D0F9D" w14:textId="77777777" w:rsidR="00510203" w:rsidRDefault="00510203" w:rsidP="00510203">
      <w:pPr>
        <w:pStyle w:val="ListParagraph"/>
        <w:numPr>
          <w:ilvl w:val="0"/>
          <w:numId w:val="39"/>
        </w:numPr>
        <w:autoSpaceDE/>
        <w:autoSpaceDN/>
        <w:adjustRightInd/>
        <w:spacing w:after="160" w:line="259" w:lineRule="auto"/>
        <w:rPr>
          <w:rFonts w:cs="Arial"/>
        </w:rPr>
      </w:pPr>
      <w:r w:rsidRPr="009340E7">
        <w:rPr>
          <w:rFonts w:cs="Arial"/>
        </w:rPr>
        <w:t xml:space="preserve">Mental Health Commissioned Care forecast </w:t>
      </w:r>
      <w:r>
        <w:rPr>
          <w:rFonts w:cs="Arial"/>
        </w:rPr>
        <w:t>underspend of £1.391</w:t>
      </w:r>
      <w:r w:rsidRPr="009340E7">
        <w:rPr>
          <w:rFonts w:cs="Arial"/>
        </w:rPr>
        <w:t>m remains in line with the Quarter 2 position</w:t>
      </w:r>
      <w:r w:rsidRPr="004F177A">
        <w:rPr>
          <w:rFonts w:cs="Arial"/>
        </w:rPr>
        <w:t xml:space="preserve"> </w:t>
      </w:r>
      <w:r>
        <w:rPr>
          <w:rFonts w:cs="Arial"/>
        </w:rPr>
        <w:t>where demand levels are lower than budgeted levels. However the November forecast</w:t>
      </w:r>
      <w:r w:rsidRPr="004F177A">
        <w:rPr>
          <w:rFonts w:cs="Arial"/>
        </w:rPr>
        <w:t xml:space="preserve"> includes budget adjustments for the realignm</w:t>
      </w:r>
      <w:r>
        <w:rPr>
          <w:rFonts w:cs="Arial"/>
        </w:rPr>
        <w:t>ent of the Health Income budget.</w:t>
      </w:r>
    </w:p>
    <w:p w14:paraId="2ECCDB4B" w14:textId="77777777" w:rsidR="00510203" w:rsidRPr="0011473A" w:rsidRDefault="00510203" w:rsidP="00510203">
      <w:pPr>
        <w:pStyle w:val="ListParagraph"/>
        <w:rPr>
          <w:rFonts w:cs="Arial"/>
        </w:rPr>
      </w:pPr>
    </w:p>
    <w:p w14:paraId="04059D3F" w14:textId="77777777" w:rsidR="00510203" w:rsidRDefault="00510203" w:rsidP="00510203">
      <w:pPr>
        <w:pStyle w:val="ListParagraph"/>
        <w:numPr>
          <w:ilvl w:val="0"/>
          <w:numId w:val="39"/>
        </w:numPr>
        <w:autoSpaceDE/>
        <w:autoSpaceDN/>
        <w:adjustRightInd/>
        <w:spacing w:after="0" w:line="259" w:lineRule="auto"/>
        <w:rPr>
          <w:rFonts w:cs="Arial"/>
        </w:rPr>
      </w:pPr>
      <w:r>
        <w:rPr>
          <w:rFonts w:cs="Arial"/>
        </w:rPr>
        <w:t>Mental Health staffing remains in line with Quarter 2 with an underspend of £1.227m forecast due to staff vacancies.  Learning Disability and Autism staffing also continues to forecast a similar underspend compared to Quarter 2 of £0.256m.</w:t>
      </w:r>
    </w:p>
    <w:p w14:paraId="666E3AEC" w14:textId="77777777" w:rsidR="00510203" w:rsidRPr="0011473A" w:rsidRDefault="00510203" w:rsidP="00510203">
      <w:pPr>
        <w:spacing w:after="0"/>
        <w:rPr>
          <w:rFonts w:cs="Arial"/>
        </w:rPr>
      </w:pPr>
    </w:p>
    <w:p w14:paraId="2DD7630D" w14:textId="3E228193" w:rsidR="00510203" w:rsidRDefault="00510203" w:rsidP="00510203">
      <w:pPr>
        <w:spacing w:after="0"/>
        <w:rPr>
          <w:rFonts w:cs="Arial"/>
        </w:rPr>
      </w:pPr>
      <w:r>
        <w:rPr>
          <w:rFonts w:cs="Arial"/>
        </w:rPr>
        <w:t>Social Care Services</w:t>
      </w:r>
      <w:r w:rsidR="008C7CC9">
        <w:rPr>
          <w:rFonts w:cs="Arial"/>
        </w:rPr>
        <w:t xml:space="preserve"> overspend has reduced by £0.979</w:t>
      </w:r>
      <w:r>
        <w:rPr>
          <w:rFonts w:cs="Arial"/>
        </w:rPr>
        <w:t>m since Quarter 2</w:t>
      </w:r>
      <w:r w:rsidRPr="007661F9">
        <w:rPr>
          <w:rFonts w:cs="Arial"/>
        </w:rPr>
        <w:t xml:space="preserve"> </w:t>
      </w:r>
      <w:r>
        <w:rPr>
          <w:rFonts w:cs="Arial"/>
        </w:rPr>
        <w:t>to £5.621</w:t>
      </w:r>
      <w:r w:rsidRPr="004F177A">
        <w:rPr>
          <w:rFonts w:cs="Arial"/>
        </w:rPr>
        <w:t>m</w:t>
      </w:r>
      <w:r>
        <w:rPr>
          <w:rFonts w:cs="Arial"/>
        </w:rPr>
        <w:t>, with the significant elements detailed below:</w:t>
      </w:r>
    </w:p>
    <w:p w14:paraId="3AFFB21B" w14:textId="77777777" w:rsidR="00510203" w:rsidRDefault="00510203" w:rsidP="00510203">
      <w:pPr>
        <w:spacing w:after="0"/>
        <w:rPr>
          <w:rFonts w:cs="Arial"/>
        </w:rPr>
      </w:pPr>
    </w:p>
    <w:p w14:paraId="7E607B1D" w14:textId="77777777" w:rsidR="00510203" w:rsidRPr="0033739B" w:rsidRDefault="00510203" w:rsidP="00510203">
      <w:pPr>
        <w:pStyle w:val="ListParagraph"/>
        <w:numPr>
          <w:ilvl w:val="0"/>
          <w:numId w:val="40"/>
        </w:numPr>
        <w:autoSpaceDE/>
        <w:autoSpaceDN/>
        <w:adjustRightInd/>
        <w:spacing w:after="160" w:line="259" w:lineRule="auto"/>
        <w:rPr>
          <w:rFonts w:cs="Arial"/>
        </w:rPr>
      </w:pPr>
      <w:r>
        <w:rPr>
          <w:rFonts w:cs="Arial"/>
        </w:rPr>
        <w:t xml:space="preserve">The largest </w:t>
      </w:r>
      <w:r w:rsidRPr="00994FBF">
        <w:rPr>
          <w:rFonts w:cs="Arial"/>
        </w:rPr>
        <w:t xml:space="preserve">area of spend in Social Care Services (Adults) is Physical Support the forecast </w:t>
      </w:r>
      <w:r>
        <w:rPr>
          <w:rFonts w:cs="Arial"/>
        </w:rPr>
        <w:t>has improved since</w:t>
      </w:r>
      <w:r w:rsidRPr="00994FBF">
        <w:rPr>
          <w:rFonts w:cs="Arial"/>
        </w:rPr>
        <w:t xml:space="preserve"> </w:t>
      </w:r>
      <w:r>
        <w:rPr>
          <w:rFonts w:cs="Arial"/>
          <w:lang w:eastAsia="en-GB"/>
        </w:rPr>
        <w:t xml:space="preserve">Quarter 2 with the service </w:t>
      </w:r>
      <w:r>
        <w:rPr>
          <w:rFonts w:cs="Arial"/>
        </w:rPr>
        <w:t>forecast to overspend by £5.896</w:t>
      </w:r>
      <w:r w:rsidRPr="0033739B">
        <w:rPr>
          <w:rFonts w:cs="Arial"/>
        </w:rPr>
        <w:t xml:space="preserve">m. There have been large increases in demand for residential and nursing placements in the year to date, which have contributed to the forecast overspend. </w:t>
      </w:r>
    </w:p>
    <w:p w14:paraId="56600869" w14:textId="77777777" w:rsidR="00510203" w:rsidRDefault="00510203" w:rsidP="00510203">
      <w:pPr>
        <w:pStyle w:val="ListParagraph"/>
        <w:rPr>
          <w:rFonts w:cs="Arial"/>
        </w:rPr>
      </w:pPr>
    </w:p>
    <w:p w14:paraId="3D2F8E2B" w14:textId="77777777" w:rsidR="00510203" w:rsidRDefault="00510203" w:rsidP="00510203">
      <w:pPr>
        <w:pStyle w:val="ListParagraph"/>
        <w:rPr>
          <w:rFonts w:cs="Arial"/>
        </w:rPr>
      </w:pPr>
      <w:r w:rsidRPr="00994FBF">
        <w:rPr>
          <w:rFonts w:cs="Arial"/>
        </w:rPr>
        <w:t xml:space="preserve">The increases have been reviewed against the Passport to Independence </w:t>
      </w:r>
      <w:r>
        <w:rPr>
          <w:rFonts w:cs="Arial"/>
        </w:rPr>
        <w:t xml:space="preserve">transformation </w:t>
      </w:r>
      <w:r w:rsidRPr="00994FBF">
        <w:rPr>
          <w:rFonts w:cs="Arial"/>
        </w:rPr>
        <w:t xml:space="preserve">programme which is reporting higher than expected savings on residential admissions from Acute settings.  Analysis has shown that an increase in the number of assessments and reviews completed in the Community teams is the most likely cause of the increase in admissions. The percentage of assessments and reviews leading to an admission has not changed, which would indicate that the increase is not a result of changes to the decision making process. </w:t>
      </w:r>
    </w:p>
    <w:p w14:paraId="646DE248" w14:textId="77777777" w:rsidR="00510203" w:rsidRDefault="00510203" w:rsidP="00510203">
      <w:pPr>
        <w:pStyle w:val="ListParagraph"/>
        <w:rPr>
          <w:rFonts w:cs="Arial"/>
        </w:rPr>
      </w:pPr>
    </w:p>
    <w:p w14:paraId="668EDC1D" w14:textId="77777777" w:rsidR="00510203" w:rsidRDefault="00510203" w:rsidP="00510203">
      <w:pPr>
        <w:pStyle w:val="ListParagraph"/>
        <w:rPr>
          <w:rFonts w:cs="Arial"/>
        </w:rPr>
      </w:pPr>
      <w:r w:rsidRPr="00994FBF">
        <w:rPr>
          <w:rFonts w:cs="Arial"/>
        </w:rPr>
        <w:t>On the other hand, total Domiciliary and Direct Payments service user numbers show little change compared with March 2017.  This service area contains the budget reductions generated by the Passport to Independence transformation programme. The delayed delivery is contributing to the overspend position as well as the increase in throughput of assessment and reviews.</w:t>
      </w:r>
    </w:p>
    <w:p w14:paraId="119F3D53" w14:textId="77777777" w:rsidR="00510203" w:rsidRPr="00994FBF" w:rsidRDefault="00510203" w:rsidP="00510203">
      <w:pPr>
        <w:pStyle w:val="ListParagraph"/>
        <w:rPr>
          <w:rFonts w:cs="Arial"/>
        </w:rPr>
      </w:pPr>
    </w:p>
    <w:p w14:paraId="25004523" w14:textId="77777777" w:rsidR="00510203" w:rsidRDefault="00510203" w:rsidP="00510203">
      <w:pPr>
        <w:pStyle w:val="ListParagraph"/>
        <w:numPr>
          <w:ilvl w:val="0"/>
          <w:numId w:val="31"/>
        </w:numPr>
        <w:autoSpaceDE/>
        <w:autoSpaceDN/>
        <w:adjustRightInd/>
        <w:spacing w:after="160" w:line="259" w:lineRule="auto"/>
        <w:rPr>
          <w:rFonts w:cs="Arial"/>
        </w:rPr>
      </w:pPr>
      <w:r w:rsidRPr="001E0338">
        <w:rPr>
          <w:rFonts w:cs="Arial"/>
        </w:rPr>
        <w:t>The forecast for Personal Social Care staff has decreased by £0.</w:t>
      </w:r>
      <w:r>
        <w:rPr>
          <w:rFonts w:cs="Arial"/>
        </w:rPr>
        <w:t>264</w:t>
      </w:r>
      <w:r w:rsidRPr="001E0338">
        <w:rPr>
          <w:rFonts w:cs="Arial"/>
        </w:rPr>
        <w:t>m due to the level of vacancies remaining in the new service structure.</w:t>
      </w:r>
      <w:r>
        <w:rPr>
          <w:rFonts w:cs="Arial"/>
        </w:rPr>
        <w:t xml:space="preserve"> The service is also reporting a reduced requirement from reserves, as it was agreed that reserves will be utilised to support the interim staffing structure. </w:t>
      </w:r>
    </w:p>
    <w:p w14:paraId="16691B18" w14:textId="77777777" w:rsidR="00510203" w:rsidRPr="001E0338" w:rsidRDefault="00510203" w:rsidP="00510203">
      <w:pPr>
        <w:pStyle w:val="ListParagraph"/>
        <w:rPr>
          <w:rFonts w:cs="Arial"/>
        </w:rPr>
      </w:pPr>
      <w:r w:rsidRPr="001E0338">
        <w:rPr>
          <w:rFonts w:cs="Arial"/>
        </w:rPr>
        <w:t> </w:t>
      </w:r>
    </w:p>
    <w:p w14:paraId="59413737" w14:textId="77777777" w:rsidR="00510203" w:rsidRPr="0011473A" w:rsidRDefault="00510203" w:rsidP="00510203">
      <w:pPr>
        <w:pStyle w:val="ListParagraph"/>
        <w:numPr>
          <w:ilvl w:val="0"/>
          <w:numId w:val="31"/>
        </w:numPr>
        <w:autoSpaceDE/>
        <w:autoSpaceDN/>
        <w:adjustRightInd/>
        <w:spacing w:after="160" w:line="259" w:lineRule="auto"/>
        <w:rPr>
          <w:rFonts w:cs="Arial"/>
        </w:rPr>
      </w:pPr>
      <w:r>
        <w:rPr>
          <w:rFonts w:cs="Arial"/>
        </w:rPr>
        <w:t xml:space="preserve">The supporting people service is forecasting an underspend of £0.083 which is </w:t>
      </w:r>
      <w:r w:rsidRPr="001E0338">
        <w:rPr>
          <w:rFonts w:cs="Arial"/>
        </w:rPr>
        <w:t xml:space="preserve">a decrease of £0.325m </w:t>
      </w:r>
      <w:r>
        <w:rPr>
          <w:rFonts w:cs="Arial"/>
        </w:rPr>
        <w:t xml:space="preserve">compared to </w:t>
      </w:r>
      <w:r w:rsidRPr="001E0338">
        <w:rPr>
          <w:rFonts w:cs="Arial"/>
        </w:rPr>
        <w:t>Quarter 2</w:t>
      </w:r>
      <w:r>
        <w:rPr>
          <w:rFonts w:cs="Arial"/>
        </w:rPr>
        <w:t xml:space="preserve">. This is due to an agreed contribution being made to </w:t>
      </w:r>
      <w:r w:rsidRPr="001E0338">
        <w:rPr>
          <w:rFonts w:cs="Arial"/>
        </w:rPr>
        <w:t>support ongoing contracts which have transfer</w:t>
      </w:r>
      <w:r>
        <w:rPr>
          <w:rFonts w:cs="Arial"/>
        </w:rPr>
        <w:t xml:space="preserve">red to Children's Services that was not previously forecast. </w:t>
      </w:r>
    </w:p>
    <w:p w14:paraId="35F02E78" w14:textId="77777777" w:rsidR="00510203" w:rsidRDefault="00510203" w:rsidP="00510203">
      <w:pPr>
        <w:spacing w:after="0"/>
        <w:rPr>
          <w:rFonts w:cs="Arial"/>
        </w:rPr>
      </w:pPr>
    </w:p>
    <w:p w14:paraId="5A33843D" w14:textId="77777777" w:rsidR="00510203" w:rsidRDefault="00510203" w:rsidP="00510203">
      <w:pPr>
        <w:spacing w:after="0"/>
        <w:rPr>
          <w:rFonts w:cs="Arial"/>
        </w:rPr>
      </w:pPr>
    </w:p>
    <w:p w14:paraId="0564FF6A" w14:textId="77777777" w:rsidR="00510203" w:rsidRDefault="00510203" w:rsidP="00510203">
      <w:pPr>
        <w:spacing w:after="0"/>
        <w:rPr>
          <w:rFonts w:cs="Arial"/>
        </w:rPr>
      </w:pPr>
    </w:p>
    <w:p w14:paraId="0EA74487" w14:textId="77777777" w:rsidR="00510203" w:rsidRDefault="00510203" w:rsidP="00510203">
      <w:pPr>
        <w:spacing w:after="0"/>
        <w:rPr>
          <w:rFonts w:cs="Arial"/>
        </w:rPr>
      </w:pPr>
    </w:p>
    <w:p w14:paraId="41FC994E" w14:textId="77777777" w:rsidR="00510203" w:rsidRDefault="00510203" w:rsidP="00510203">
      <w:pPr>
        <w:spacing w:after="0"/>
        <w:rPr>
          <w:rFonts w:cs="Arial"/>
        </w:rPr>
      </w:pPr>
    </w:p>
    <w:p w14:paraId="50DEE074" w14:textId="77777777" w:rsidR="00664924" w:rsidRDefault="00664924" w:rsidP="00510203">
      <w:pPr>
        <w:spacing w:after="0"/>
        <w:rPr>
          <w:rFonts w:cs="Arial"/>
          <w:b/>
          <w:u w:val="single"/>
        </w:rPr>
      </w:pPr>
    </w:p>
    <w:p w14:paraId="115594A4" w14:textId="77777777" w:rsidR="00664924" w:rsidRDefault="00664924" w:rsidP="00510203">
      <w:pPr>
        <w:spacing w:after="0"/>
        <w:rPr>
          <w:rFonts w:cs="Arial"/>
          <w:b/>
          <w:u w:val="single"/>
        </w:rPr>
      </w:pPr>
    </w:p>
    <w:p w14:paraId="1B340A88" w14:textId="77777777" w:rsidR="00664924" w:rsidRDefault="00664924" w:rsidP="00510203">
      <w:pPr>
        <w:spacing w:after="0"/>
        <w:rPr>
          <w:rFonts w:cs="Arial"/>
          <w:b/>
          <w:u w:val="single"/>
        </w:rPr>
      </w:pPr>
    </w:p>
    <w:p w14:paraId="3684CAAA" w14:textId="77777777" w:rsidR="00664924" w:rsidRDefault="00664924" w:rsidP="00510203">
      <w:pPr>
        <w:spacing w:after="0"/>
        <w:rPr>
          <w:rFonts w:cs="Arial"/>
          <w:b/>
          <w:u w:val="single"/>
        </w:rPr>
      </w:pPr>
    </w:p>
    <w:p w14:paraId="1F5FABA2" w14:textId="77777777" w:rsidR="00664924" w:rsidRDefault="00664924" w:rsidP="00510203">
      <w:pPr>
        <w:spacing w:after="0"/>
        <w:rPr>
          <w:rFonts w:cs="Arial"/>
          <w:b/>
          <w:u w:val="single"/>
        </w:rPr>
      </w:pPr>
    </w:p>
    <w:p w14:paraId="34483175" w14:textId="77777777" w:rsidR="00664924" w:rsidRDefault="00664924" w:rsidP="00510203">
      <w:pPr>
        <w:spacing w:after="0"/>
        <w:rPr>
          <w:rFonts w:cs="Arial"/>
          <w:b/>
          <w:u w:val="single"/>
        </w:rPr>
      </w:pPr>
    </w:p>
    <w:p w14:paraId="56D8ADBE" w14:textId="2847690E" w:rsidR="00D40856" w:rsidRDefault="00D40856" w:rsidP="00D40856">
      <w:pPr>
        <w:spacing w:after="0"/>
        <w:rPr>
          <w:rFonts w:eastAsia="Times New Roman" w:cs="Arial"/>
          <w:b/>
          <w:lang w:eastAsia="en-GB"/>
        </w:rPr>
      </w:pPr>
      <w:r>
        <w:rPr>
          <w:rFonts w:eastAsia="Times New Roman" w:cs="Arial"/>
          <w:b/>
          <w:lang w:eastAsia="en-GB"/>
        </w:rPr>
        <w:lastRenderedPageBreak/>
        <w:t>3</w:t>
      </w:r>
      <w:r w:rsidRPr="00FB36C0">
        <w:rPr>
          <w:rFonts w:eastAsia="Times New Roman" w:cs="Arial"/>
          <w:b/>
          <w:lang w:eastAsia="en-GB"/>
        </w:rPr>
        <w:t>.</w:t>
      </w:r>
      <w:r>
        <w:rPr>
          <w:rFonts w:eastAsia="Times New Roman" w:cs="Arial"/>
          <w:b/>
          <w:lang w:eastAsia="en-GB"/>
        </w:rPr>
        <w:t>2</w:t>
      </w:r>
      <w:r w:rsidRPr="00FB36C0">
        <w:rPr>
          <w:rFonts w:eastAsia="Times New Roman" w:cs="Arial"/>
          <w:b/>
          <w:lang w:eastAsia="en-GB"/>
        </w:rPr>
        <w:tab/>
      </w:r>
      <w:r>
        <w:rPr>
          <w:rFonts w:eastAsia="Times New Roman" w:cs="Arial"/>
          <w:b/>
          <w:lang w:eastAsia="en-GB"/>
        </w:rPr>
        <w:t xml:space="preserve">Children's Services </w:t>
      </w:r>
    </w:p>
    <w:p w14:paraId="079277C0" w14:textId="77777777" w:rsidR="00510203" w:rsidRDefault="00510203" w:rsidP="00510203">
      <w:pPr>
        <w:spacing w:after="0"/>
        <w:rPr>
          <w:rFonts w:cs="Arial"/>
          <w:b/>
          <w:u w:val="single"/>
        </w:rPr>
      </w:pPr>
    </w:p>
    <w:tbl>
      <w:tblPr>
        <w:tblW w:w="9237" w:type="dxa"/>
        <w:tblInd w:w="-431" w:type="dxa"/>
        <w:tblLayout w:type="fixed"/>
        <w:tblLook w:val="04A0" w:firstRow="1" w:lastRow="0" w:firstColumn="1" w:lastColumn="0" w:noHBand="0" w:noVBand="1"/>
      </w:tblPr>
      <w:tblGrid>
        <w:gridCol w:w="710"/>
        <w:gridCol w:w="2835"/>
        <w:gridCol w:w="1276"/>
        <w:gridCol w:w="1134"/>
        <w:gridCol w:w="1105"/>
        <w:gridCol w:w="1089"/>
        <w:gridCol w:w="1088"/>
      </w:tblGrid>
      <w:tr w:rsidR="00510203" w:rsidRPr="008259DA" w14:paraId="73BAADEE" w14:textId="77777777" w:rsidTr="00E118FC">
        <w:trPr>
          <w:trHeight w:val="1338"/>
        </w:trPr>
        <w:tc>
          <w:tcPr>
            <w:tcW w:w="710" w:type="dxa"/>
            <w:tcBorders>
              <w:top w:val="single" w:sz="4" w:space="0" w:color="auto"/>
              <w:left w:val="single" w:sz="4" w:space="0" w:color="auto"/>
              <w:bottom w:val="nil"/>
              <w:right w:val="single" w:sz="4" w:space="0" w:color="auto"/>
            </w:tcBorders>
            <w:shd w:val="clear" w:color="000000" w:fill="D9D9D9"/>
            <w:vAlign w:val="bottom"/>
            <w:hideMark/>
          </w:tcPr>
          <w:p w14:paraId="1908C743" w14:textId="77777777" w:rsidR="00510203" w:rsidRPr="008259DA" w:rsidRDefault="00510203" w:rsidP="00E118FC">
            <w:pPr>
              <w:spacing w:after="0"/>
              <w:jc w:val="center"/>
              <w:rPr>
                <w:rFonts w:eastAsia="Times New Roman" w:cs="Arial"/>
                <w:b/>
                <w:bCs/>
                <w:sz w:val="20"/>
                <w:szCs w:val="20"/>
                <w:lang w:eastAsia="en-GB"/>
              </w:rPr>
            </w:pPr>
            <w:r w:rsidRPr="008259DA">
              <w:rPr>
                <w:rFonts w:eastAsia="Times New Roman" w:cs="Arial"/>
                <w:b/>
                <w:bCs/>
                <w:sz w:val="20"/>
                <w:szCs w:val="20"/>
                <w:lang w:eastAsia="en-GB"/>
              </w:rPr>
              <w:t>Ref</w:t>
            </w:r>
          </w:p>
        </w:tc>
        <w:tc>
          <w:tcPr>
            <w:tcW w:w="2835" w:type="dxa"/>
            <w:tcBorders>
              <w:top w:val="single" w:sz="4" w:space="0" w:color="auto"/>
              <w:left w:val="nil"/>
              <w:bottom w:val="nil"/>
              <w:right w:val="single" w:sz="4" w:space="0" w:color="auto"/>
            </w:tcBorders>
            <w:shd w:val="clear" w:color="000000" w:fill="D9D9D9"/>
            <w:vAlign w:val="bottom"/>
            <w:hideMark/>
          </w:tcPr>
          <w:p w14:paraId="00D105E6" w14:textId="77777777" w:rsidR="00510203" w:rsidRPr="008259DA" w:rsidRDefault="00510203" w:rsidP="00E118FC">
            <w:pPr>
              <w:spacing w:after="0"/>
              <w:jc w:val="center"/>
              <w:rPr>
                <w:rFonts w:eastAsia="Times New Roman" w:cs="Arial"/>
                <w:b/>
                <w:bCs/>
                <w:sz w:val="20"/>
                <w:szCs w:val="20"/>
                <w:lang w:eastAsia="en-GB"/>
              </w:rPr>
            </w:pPr>
            <w:r w:rsidRPr="008259DA">
              <w:rPr>
                <w:rFonts w:eastAsia="Times New Roman" w:cs="Arial"/>
                <w:b/>
                <w:bCs/>
                <w:sz w:val="20"/>
                <w:szCs w:val="20"/>
                <w:lang w:eastAsia="en-GB"/>
              </w:rPr>
              <w:t>HEAD OF SERVICE</w:t>
            </w:r>
          </w:p>
        </w:tc>
        <w:tc>
          <w:tcPr>
            <w:tcW w:w="1276" w:type="dxa"/>
            <w:tcBorders>
              <w:top w:val="single" w:sz="4" w:space="0" w:color="auto"/>
              <w:left w:val="nil"/>
              <w:bottom w:val="nil"/>
              <w:right w:val="single" w:sz="4" w:space="0" w:color="auto"/>
            </w:tcBorders>
            <w:shd w:val="clear" w:color="000000" w:fill="D9D9D9"/>
            <w:vAlign w:val="bottom"/>
            <w:hideMark/>
          </w:tcPr>
          <w:p w14:paraId="6DDBF0A4" w14:textId="77777777" w:rsidR="00510203" w:rsidRPr="008259DA" w:rsidRDefault="00510203" w:rsidP="00E118FC">
            <w:pPr>
              <w:spacing w:after="0"/>
              <w:jc w:val="center"/>
              <w:rPr>
                <w:rFonts w:eastAsia="Times New Roman" w:cs="Arial"/>
                <w:b/>
                <w:bCs/>
                <w:sz w:val="20"/>
                <w:szCs w:val="20"/>
                <w:lang w:eastAsia="en-GB"/>
              </w:rPr>
            </w:pPr>
            <w:r w:rsidRPr="008259DA">
              <w:rPr>
                <w:rFonts w:eastAsia="Times New Roman" w:cs="Arial"/>
                <w:b/>
                <w:bCs/>
                <w:sz w:val="20"/>
                <w:szCs w:val="20"/>
                <w:lang w:eastAsia="en-GB"/>
              </w:rPr>
              <w:t>Approved Budget</w:t>
            </w:r>
          </w:p>
        </w:tc>
        <w:tc>
          <w:tcPr>
            <w:tcW w:w="1134" w:type="dxa"/>
            <w:tcBorders>
              <w:top w:val="single" w:sz="4" w:space="0" w:color="auto"/>
              <w:left w:val="nil"/>
              <w:bottom w:val="nil"/>
              <w:right w:val="single" w:sz="4" w:space="0" w:color="auto"/>
            </w:tcBorders>
            <w:shd w:val="clear" w:color="000000" w:fill="D9D9D9"/>
            <w:vAlign w:val="bottom"/>
            <w:hideMark/>
          </w:tcPr>
          <w:p w14:paraId="29ABA43D" w14:textId="77777777" w:rsidR="00510203" w:rsidRPr="008259DA" w:rsidRDefault="00510203" w:rsidP="00E118FC">
            <w:pPr>
              <w:spacing w:after="0"/>
              <w:jc w:val="center"/>
              <w:rPr>
                <w:rFonts w:eastAsia="Times New Roman" w:cs="Arial"/>
                <w:b/>
                <w:bCs/>
                <w:sz w:val="20"/>
                <w:szCs w:val="20"/>
                <w:lang w:eastAsia="en-GB"/>
              </w:rPr>
            </w:pPr>
            <w:r w:rsidRPr="008259DA">
              <w:rPr>
                <w:rFonts w:eastAsia="Times New Roman" w:cs="Arial"/>
                <w:b/>
                <w:bCs/>
                <w:sz w:val="20"/>
                <w:szCs w:val="20"/>
                <w:lang w:eastAsia="en-GB"/>
              </w:rPr>
              <w:t>Current Cabinet Forecast Qtr 3</w:t>
            </w:r>
          </w:p>
        </w:tc>
        <w:tc>
          <w:tcPr>
            <w:tcW w:w="1105" w:type="dxa"/>
            <w:tcBorders>
              <w:top w:val="single" w:sz="4" w:space="0" w:color="auto"/>
              <w:left w:val="nil"/>
              <w:bottom w:val="nil"/>
              <w:right w:val="single" w:sz="4" w:space="0" w:color="auto"/>
            </w:tcBorders>
            <w:shd w:val="clear" w:color="000000" w:fill="D9D9D9"/>
            <w:vAlign w:val="bottom"/>
            <w:hideMark/>
          </w:tcPr>
          <w:p w14:paraId="38C88350" w14:textId="77777777" w:rsidR="00510203" w:rsidRPr="008259DA" w:rsidRDefault="00510203" w:rsidP="00E118FC">
            <w:pPr>
              <w:spacing w:after="0"/>
              <w:jc w:val="center"/>
              <w:rPr>
                <w:rFonts w:eastAsia="Times New Roman" w:cs="Arial"/>
                <w:b/>
                <w:bCs/>
                <w:sz w:val="20"/>
                <w:szCs w:val="20"/>
                <w:lang w:eastAsia="en-GB"/>
              </w:rPr>
            </w:pPr>
            <w:r w:rsidRPr="008259DA">
              <w:rPr>
                <w:rFonts w:eastAsia="Times New Roman" w:cs="Arial"/>
                <w:b/>
                <w:bCs/>
                <w:sz w:val="20"/>
                <w:szCs w:val="20"/>
                <w:lang w:eastAsia="en-GB"/>
              </w:rPr>
              <w:t>Current Cabinet Forecast Variance</w:t>
            </w:r>
          </w:p>
        </w:tc>
        <w:tc>
          <w:tcPr>
            <w:tcW w:w="1089" w:type="dxa"/>
            <w:tcBorders>
              <w:top w:val="single" w:sz="4" w:space="0" w:color="auto"/>
              <w:left w:val="nil"/>
              <w:bottom w:val="nil"/>
              <w:right w:val="single" w:sz="4" w:space="0" w:color="auto"/>
            </w:tcBorders>
            <w:shd w:val="clear" w:color="000000" w:fill="D9D9D9"/>
            <w:vAlign w:val="bottom"/>
            <w:hideMark/>
          </w:tcPr>
          <w:p w14:paraId="7F627504" w14:textId="77777777" w:rsidR="00510203" w:rsidRPr="008259DA" w:rsidRDefault="00510203" w:rsidP="00E118FC">
            <w:pPr>
              <w:spacing w:after="0"/>
              <w:jc w:val="center"/>
              <w:rPr>
                <w:rFonts w:eastAsia="Times New Roman" w:cs="Arial"/>
                <w:b/>
                <w:bCs/>
                <w:sz w:val="20"/>
                <w:szCs w:val="20"/>
                <w:lang w:eastAsia="en-GB"/>
              </w:rPr>
            </w:pPr>
            <w:r w:rsidRPr="008259DA">
              <w:rPr>
                <w:rFonts w:eastAsia="Times New Roman" w:cs="Arial"/>
                <w:b/>
                <w:bCs/>
                <w:sz w:val="20"/>
                <w:szCs w:val="20"/>
                <w:lang w:eastAsia="en-GB"/>
              </w:rPr>
              <w:t>Previous Period Forecast Variance Qtr 2</w:t>
            </w:r>
          </w:p>
        </w:tc>
        <w:tc>
          <w:tcPr>
            <w:tcW w:w="1088" w:type="dxa"/>
            <w:tcBorders>
              <w:top w:val="single" w:sz="4" w:space="0" w:color="auto"/>
              <w:left w:val="nil"/>
              <w:bottom w:val="nil"/>
              <w:right w:val="single" w:sz="4" w:space="0" w:color="auto"/>
            </w:tcBorders>
            <w:shd w:val="clear" w:color="000000" w:fill="D9D9D9"/>
            <w:vAlign w:val="bottom"/>
            <w:hideMark/>
          </w:tcPr>
          <w:p w14:paraId="7F301C4D" w14:textId="77777777" w:rsidR="00510203" w:rsidRPr="008259DA" w:rsidRDefault="00510203" w:rsidP="00E118FC">
            <w:pPr>
              <w:spacing w:after="0"/>
              <w:jc w:val="center"/>
              <w:rPr>
                <w:rFonts w:eastAsia="Times New Roman" w:cs="Arial"/>
                <w:b/>
                <w:bCs/>
                <w:sz w:val="20"/>
                <w:szCs w:val="20"/>
                <w:lang w:eastAsia="en-GB"/>
              </w:rPr>
            </w:pPr>
            <w:r w:rsidRPr="008259DA">
              <w:rPr>
                <w:rFonts w:eastAsia="Times New Roman" w:cs="Arial"/>
                <w:b/>
                <w:bCs/>
                <w:sz w:val="20"/>
                <w:szCs w:val="20"/>
                <w:lang w:eastAsia="en-GB"/>
              </w:rPr>
              <w:t>Current Qtr 3 Forecast Variance</w:t>
            </w:r>
          </w:p>
        </w:tc>
      </w:tr>
      <w:tr w:rsidR="00510203" w:rsidRPr="008259DA" w14:paraId="570BFE0A" w14:textId="77777777" w:rsidTr="00E118FC">
        <w:trPr>
          <w:trHeight w:val="554"/>
        </w:trPr>
        <w:tc>
          <w:tcPr>
            <w:tcW w:w="710" w:type="dxa"/>
            <w:tcBorders>
              <w:top w:val="nil"/>
              <w:left w:val="single" w:sz="4" w:space="0" w:color="auto"/>
              <w:bottom w:val="single" w:sz="4" w:space="0" w:color="auto"/>
              <w:right w:val="single" w:sz="4" w:space="0" w:color="auto"/>
            </w:tcBorders>
            <w:shd w:val="clear" w:color="000000" w:fill="D9D9D9"/>
            <w:vAlign w:val="bottom"/>
            <w:hideMark/>
          </w:tcPr>
          <w:p w14:paraId="5BAF7C52" w14:textId="77777777" w:rsidR="00510203" w:rsidRPr="008259DA" w:rsidRDefault="00510203" w:rsidP="00E118FC">
            <w:pPr>
              <w:spacing w:after="0"/>
              <w:jc w:val="center"/>
              <w:rPr>
                <w:rFonts w:eastAsia="Times New Roman" w:cs="Arial"/>
                <w:b/>
                <w:bCs/>
                <w:sz w:val="20"/>
                <w:szCs w:val="20"/>
                <w:lang w:eastAsia="en-GB"/>
              </w:rPr>
            </w:pPr>
            <w:r w:rsidRPr="008259DA">
              <w:rPr>
                <w:rFonts w:eastAsia="Times New Roman" w:cs="Arial"/>
                <w:b/>
                <w:bCs/>
                <w:sz w:val="20"/>
                <w:szCs w:val="20"/>
                <w:lang w:eastAsia="en-GB"/>
              </w:rPr>
              <w:t> </w:t>
            </w:r>
          </w:p>
        </w:tc>
        <w:tc>
          <w:tcPr>
            <w:tcW w:w="2835" w:type="dxa"/>
            <w:tcBorders>
              <w:top w:val="nil"/>
              <w:left w:val="nil"/>
              <w:bottom w:val="single" w:sz="4" w:space="0" w:color="auto"/>
              <w:right w:val="single" w:sz="4" w:space="0" w:color="auto"/>
            </w:tcBorders>
            <w:shd w:val="clear" w:color="000000" w:fill="D9D9D9"/>
            <w:vAlign w:val="bottom"/>
            <w:hideMark/>
          </w:tcPr>
          <w:p w14:paraId="76412F2D" w14:textId="77777777" w:rsidR="00510203" w:rsidRPr="008259DA" w:rsidRDefault="00510203" w:rsidP="00E118FC">
            <w:pPr>
              <w:spacing w:after="0"/>
              <w:jc w:val="center"/>
              <w:rPr>
                <w:rFonts w:eastAsia="Times New Roman" w:cs="Arial"/>
                <w:b/>
                <w:bCs/>
                <w:sz w:val="20"/>
                <w:szCs w:val="20"/>
                <w:lang w:eastAsia="en-GB"/>
              </w:rPr>
            </w:pPr>
            <w:r w:rsidRPr="008259DA">
              <w:rPr>
                <w:rFonts w:eastAsia="Times New Roman" w:cs="Arial"/>
                <w:b/>
                <w:bCs/>
                <w:sz w:val="20"/>
                <w:szCs w:val="20"/>
                <w:lang w:eastAsia="en-GB"/>
              </w:rPr>
              <w:t> </w:t>
            </w:r>
          </w:p>
        </w:tc>
        <w:tc>
          <w:tcPr>
            <w:tcW w:w="1276" w:type="dxa"/>
            <w:tcBorders>
              <w:top w:val="nil"/>
              <w:left w:val="nil"/>
              <w:bottom w:val="single" w:sz="4" w:space="0" w:color="auto"/>
              <w:right w:val="single" w:sz="4" w:space="0" w:color="auto"/>
            </w:tcBorders>
            <w:shd w:val="clear" w:color="000000" w:fill="D9D9D9"/>
            <w:vAlign w:val="bottom"/>
            <w:hideMark/>
          </w:tcPr>
          <w:p w14:paraId="3DBBC5F0" w14:textId="77777777" w:rsidR="00510203" w:rsidRPr="008259DA" w:rsidRDefault="00510203" w:rsidP="00E118FC">
            <w:pPr>
              <w:spacing w:after="0"/>
              <w:jc w:val="center"/>
              <w:rPr>
                <w:rFonts w:eastAsia="Times New Roman" w:cs="Arial"/>
                <w:b/>
                <w:bCs/>
                <w:sz w:val="20"/>
                <w:szCs w:val="20"/>
                <w:lang w:eastAsia="en-GB"/>
              </w:rPr>
            </w:pPr>
            <w:r w:rsidRPr="008259DA">
              <w:rPr>
                <w:rFonts w:eastAsia="Times New Roman" w:cs="Arial"/>
                <w:b/>
                <w:bCs/>
                <w:sz w:val="20"/>
                <w:szCs w:val="20"/>
                <w:lang w:eastAsia="en-GB"/>
              </w:rPr>
              <w:t>£m</w:t>
            </w:r>
          </w:p>
        </w:tc>
        <w:tc>
          <w:tcPr>
            <w:tcW w:w="1134" w:type="dxa"/>
            <w:tcBorders>
              <w:top w:val="nil"/>
              <w:left w:val="nil"/>
              <w:bottom w:val="single" w:sz="4" w:space="0" w:color="auto"/>
              <w:right w:val="single" w:sz="4" w:space="0" w:color="auto"/>
            </w:tcBorders>
            <w:shd w:val="clear" w:color="000000" w:fill="D9D9D9"/>
            <w:vAlign w:val="bottom"/>
            <w:hideMark/>
          </w:tcPr>
          <w:p w14:paraId="67A553F0" w14:textId="77777777" w:rsidR="00510203" w:rsidRPr="008259DA" w:rsidRDefault="00510203" w:rsidP="00E118FC">
            <w:pPr>
              <w:spacing w:after="0"/>
              <w:jc w:val="center"/>
              <w:rPr>
                <w:rFonts w:eastAsia="Times New Roman" w:cs="Arial"/>
                <w:b/>
                <w:bCs/>
                <w:sz w:val="20"/>
                <w:szCs w:val="20"/>
                <w:lang w:eastAsia="en-GB"/>
              </w:rPr>
            </w:pPr>
            <w:r w:rsidRPr="008259DA">
              <w:rPr>
                <w:rFonts w:eastAsia="Times New Roman" w:cs="Arial"/>
                <w:b/>
                <w:bCs/>
                <w:sz w:val="20"/>
                <w:szCs w:val="20"/>
                <w:lang w:eastAsia="en-GB"/>
              </w:rPr>
              <w:t>£m</w:t>
            </w:r>
          </w:p>
        </w:tc>
        <w:tc>
          <w:tcPr>
            <w:tcW w:w="1105" w:type="dxa"/>
            <w:tcBorders>
              <w:top w:val="nil"/>
              <w:left w:val="nil"/>
              <w:bottom w:val="single" w:sz="4" w:space="0" w:color="auto"/>
              <w:right w:val="single" w:sz="4" w:space="0" w:color="auto"/>
            </w:tcBorders>
            <w:shd w:val="clear" w:color="000000" w:fill="D9D9D9"/>
            <w:vAlign w:val="bottom"/>
            <w:hideMark/>
          </w:tcPr>
          <w:p w14:paraId="4C921087" w14:textId="77777777" w:rsidR="00510203" w:rsidRPr="008259DA" w:rsidRDefault="00510203" w:rsidP="00E118FC">
            <w:pPr>
              <w:spacing w:after="0"/>
              <w:jc w:val="center"/>
              <w:rPr>
                <w:rFonts w:eastAsia="Times New Roman" w:cs="Arial"/>
                <w:b/>
                <w:bCs/>
                <w:sz w:val="20"/>
                <w:szCs w:val="20"/>
                <w:lang w:eastAsia="en-GB"/>
              </w:rPr>
            </w:pPr>
            <w:r w:rsidRPr="008259DA">
              <w:rPr>
                <w:rFonts w:eastAsia="Times New Roman" w:cs="Arial"/>
                <w:b/>
                <w:bCs/>
                <w:sz w:val="20"/>
                <w:szCs w:val="20"/>
                <w:lang w:eastAsia="en-GB"/>
              </w:rPr>
              <w:t>£m</w:t>
            </w:r>
          </w:p>
        </w:tc>
        <w:tc>
          <w:tcPr>
            <w:tcW w:w="1089" w:type="dxa"/>
            <w:tcBorders>
              <w:top w:val="nil"/>
              <w:left w:val="nil"/>
              <w:bottom w:val="single" w:sz="4" w:space="0" w:color="auto"/>
              <w:right w:val="single" w:sz="4" w:space="0" w:color="auto"/>
            </w:tcBorders>
            <w:shd w:val="clear" w:color="000000" w:fill="D9D9D9"/>
            <w:vAlign w:val="bottom"/>
            <w:hideMark/>
          </w:tcPr>
          <w:p w14:paraId="1A90EBEE" w14:textId="77777777" w:rsidR="00510203" w:rsidRPr="008259DA" w:rsidRDefault="00510203" w:rsidP="00E118FC">
            <w:pPr>
              <w:spacing w:after="0"/>
              <w:jc w:val="center"/>
              <w:rPr>
                <w:rFonts w:eastAsia="Times New Roman" w:cs="Arial"/>
                <w:b/>
                <w:bCs/>
                <w:sz w:val="20"/>
                <w:szCs w:val="20"/>
                <w:lang w:eastAsia="en-GB"/>
              </w:rPr>
            </w:pPr>
            <w:r w:rsidRPr="008259DA">
              <w:rPr>
                <w:rFonts w:eastAsia="Times New Roman" w:cs="Arial"/>
                <w:b/>
                <w:bCs/>
                <w:sz w:val="20"/>
                <w:szCs w:val="20"/>
                <w:lang w:eastAsia="en-GB"/>
              </w:rPr>
              <w:t>£m</w:t>
            </w:r>
          </w:p>
        </w:tc>
        <w:tc>
          <w:tcPr>
            <w:tcW w:w="1088" w:type="dxa"/>
            <w:tcBorders>
              <w:top w:val="nil"/>
              <w:left w:val="nil"/>
              <w:bottom w:val="single" w:sz="4" w:space="0" w:color="auto"/>
              <w:right w:val="single" w:sz="4" w:space="0" w:color="auto"/>
            </w:tcBorders>
            <w:shd w:val="clear" w:color="000000" w:fill="D9D9D9"/>
            <w:vAlign w:val="bottom"/>
            <w:hideMark/>
          </w:tcPr>
          <w:p w14:paraId="44B7B79E" w14:textId="77777777" w:rsidR="00510203" w:rsidRPr="008259DA" w:rsidRDefault="00510203" w:rsidP="00E118FC">
            <w:pPr>
              <w:spacing w:after="0"/>
              <w:jc w:val="center"/>
              <w:rPr>
                <w:rFonts w:eastAsia="Times New Roman" w:cs="Arial"/>
                <w:b/>
                <w:bCs/>
                <w:sz w:val="20"/>
                <w:szCs w:val="20"/>
                <w:lang w:eastAsia="en-GB"/>
              </w:rPr>
            </w:pPr>
            <w:r w:rsidRPr="008259DA">
              <w:rPr>
                <w:rFonts w:eastAsia="Times New Roman" w:cs="Arial"/>
                <w:b/>
                <w:bCs/>
                <w:sz w:val="20"/>
                <w:szCs w:val="20"/>
                <w:lang w:eastAsia="en-GB"/>
              </w:rPr>
              <w:t>%</w:t>
            </w:r>
          </w:p>
        </w:tc>
      </w:tr>
      <w:tr w:rsidR="00510203" w:rsidRPr="008259DA" w14:paraId="1740A665" w14:textId="77777777" w:rsidTr="00E118FC">
        <w:trPr>
          <w:trHeight w:val="554"/>
        </w:trPr>
        <w:tc>
          <w:tcPr>
            <w:tcW w:w="710" w:type="dxa"/>
            <w:tcBorders>
              <w:top w:val="nil"/>
              <w:left w:val="single" w:sz="4" w:space="0" w:color="auto"/>
              <w:bottom w:val="single" w:sz="4" w:space="0" w:color="auto"/>
              <w:right w:val="single" w:sz="4" w:space="0" w:color="auto"/>
            </w:tcBorders>
            <w:shd w:val="clear" w:color="auto" w:fill="auto"/>
            <w:noWrap/>
            <w:hideMark/>
          </w:tcPr>
          <w:p w14:paraId="021DB714" w14:textId="77777777" w:rsidR="00510203" w:rsidRPr="008259DA" w:rsidRDefault="00510203" w:rsidP="00E118FC">
            <w:pPr>
              <w:spacing w:after="0"/>
              <w:jc w:val="center"/>
              <w:rPr>
                <w:rFonts w:eastAsia="Times New Roman" w:cs="Arial"/>
                <w:b/>
                <w:bCs/>
                <w:sz w:val="20"/>
                <w:szCs w:val="20"/>
                <w:lang w:eastAsia="en-GB"/>
              </w:rPr>
            </w:pPr>
            <w:r w:rsidRPr="008259DA">
              <w:rPr>
                <w:rFonts w:eastAsia="Times New Roman" w:cs="Arial"/>
                <w:b/>
                <w:bCs/>
                <w:sz w:val="20"/>
                <w:szCs w:val="20"/>
                <w:lang w:eastAsia="en-GB"/>
              </w:rPr>
              <w:t>3.2.1</w:t>
            </w:r>
          </w:p>
        </w:tc>
        <w:tc>
          <w:tcPr>
            <w:tcW w:w="2835" w:type="dxa"/>
            <w:tcBorders>
              <w:top w:val="nil"/>
              <w:left w:val="nil"/>
              <w:bottom w:val="single" w:sz="4" w:space="0" w:color="auto"/>
              <w:right w:val="single" w:sz="4" w:space="0" w:color="auto"/>
            </w:tcBorders>
            <w:shd w:val="clear" w:color="auto" w:fill="auto"/>
            <w:hideMark/>
          </w:tcPr>
          <w:p w14:paraId="49052DE4" w14:textId="77777777" w:rsidR="00510203" w:rsidRPr="008259DA" w:rsidRDefault="00510203" w:rsidP="00664924">
            <w:pPr>
              <w:spacing w:after="0"/>
              <w:jc w:val="left"/>
              <w:rPr>
                <w:rFonts w:eastAsia="Times New Roman" w:cs="Arial"/>
                <w:sz w:val="20"/>
                <w:szCs w:val="20"/>
                <w:lang w:eastAsia="en-GB"/>
              </w:rPr>
            </w:pPr>
            <w:r w:rsidRPr="008259DA">
              <w:rPr>
                <w:rFonts w:eastAsia="Times New Roman" w:cs="Arial"/>
                <w:sz w:val="20"/>
                <w:szCs w:val="20"/>
                <w:lang w:eastAsia="en-GB"/>
              </w:rPr>
              <w:t>CHILDREN'S SERVICES</w:t>
            </w:r>
          </w:p>
        </w:tc>
        <w:tc>
          <w:tcPr>
            <w:tcW w:w="1276" w:type="dxa"/>
            <w:tcBorders>
              <w:top w:val="nil"/>
              <w:left w:val="nil"/>
              <w:bottom w:val="single" w:sz="4" w:space="0" w:color="auto"/>
              <w:right w:val="single" w:sz="4" w:space="0" w:color="auto"/>
            </w:tcBorders>
            <w:shd w:val="clear" w:color="auto" w:fill="auto"/>
            <w:hideMark/>
          </w:tcPr>
          <w:p w14:paraId="66BE6370"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 xml:space="preserve">-1.217 </w:t>
            </w:r>
          </w:p>
        </w:tc>
        <w:tc>
          <w:tcPr>
            <w:tcW w:w="1134" w:type="dxa"/>
            <w:tcBorders>
              <w:top w:val="nil"/>
              <w:left w:val="nil"/>
              <w:bottom w:val="single" w:sz="4" w:space="0" w:color="auto"/>
              <w:right w:val="single" w:sz="4" w:space="0" w:color="auto"/>
            </w:tcBorders>
            <w:shd w:val="clear" w:color="000000" w:fill="FFFFFF"/>
            <w:hideMark/>
          </w:tcPr>
          <w:p w14:paraId="30F9A7D7"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 xml:space="preserve">-1.385 </w:t>
            </w:r>
          </w:p>
        </w:tc>
        <w:tc>
          <w:tcPr>
            <w:tcW w:w="1105" w:type="dxa"/>
            <w:tcBorders>
              <w:top w:val="nil"/>
              <w:left w:val="nil"/>
              <w:bottom w:val="single" w:sz="4" w:space="0" w:color="auto"/>
              <w:right w:val="single" w:sz="4" w:space="0" w:color="auto"/>
            </w:tcBorders>
            <w:shd w:val="clear" w:color="auto" w:fill="auto"/>
            <w:hideMark/>
          </w:tcPr>
          <w:p w14:paraId="74A8A903"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 xml:space="preserve">-0.168 </w:t>
            </w:r>
          </w:p>
        </w:tc>
        <w:tc>
          <w:tcPr>
            <w:tcW w:w="1089" w:type="dxa"/>
            <w:tcBorders>
              <w:top w:val="nil"/>
              <w:left w:val="nil"/>
              <w:bottom w:val="single" w:sz="4" w:space="0" w:color="auto"/>
              <w:right w:val="single" w:sz="4" w:space="0" w:color="auto"/>
            </w:tcBorders>
            <w:shd w:val="clear" w:color="auto" w:fill="auto"/>
            <w:hideMark/>
          </w:tcPr>
          <w:p w14:paraId="0568C3FE"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 xml:space="preserve">-0.165 </w:t>
            </w:r>
          </w:p>
        </w:tc>
        <w:tc>
          <w:tcPr>
            <w:tcW w:w="1088" w:type="dxa"/>
            <w:tcBorders>
              <w:top w:val="nil"/>
              <w:left w:val="nil"/>
              <w:bottom w:val="single" w:sz="4" w:space="0" w:color="auto"/>
              <w:right w:val="single" w:sz="4" w:space="0" w:color="auto"/>
            </w:tcBorders>
            <w:shd w:val="clear" w:color="auto" w:fill="auto"/>
            <w:hideMark/>
          </w:tcPr>
          <w:p w14:paraId="1F3389F8"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-13.80%</w:t>
            </w:r>
          </w:p>
        </w:tc>
      </w:tr>
      <w:tr w:rsidR="00510203" w:rsidRPr="008259DA" w14:paraId="2AC0D14E" w14:textId="77777777" w:rsidTr="00E118FC">
        <w:trPr>
          <w:trHeight w:val="554"/>
        </w:trPr>
        <w:tc>
          <w:tcPr>
            <w:tcW w:w="710" w:type="dxa"/>
            <w:tcBorders>
              <w:top w:val="nil"/>
              <w:left w:val="single" w:sz="4" w:space="0" w:color="auto"/>
              <w:bottom w:val="single" w:sz="4" w:space="0" w:color="auto"/>
              <w:right w:val="single" w:sz="4" w:space="0" w:color="auto"/>
            </w:tcBorders>
            <w:shd w:val="clear" w:color="000000" w:fill="FFFFFF"/>
            <w:noWrap/>
            <w:hideMark/>
          </w:tcPr>
          <w:p w14:paraId="263C261E" w14:textId="77777777" w:rsidR="00510203" w:rsidRPr="008259DA" w:rsidRDefault="00510203" w:rsidP="00E118FC">
            <w:pPr>
              <w:spacing w:after="0"/>
              <w:jc w:val="center"/>
              <w:rPr>
                <w:rFonts w:eastAsia="Times New Roman" w:cs="Arial"/>
                <w:b/>
                <w:bCs/>
                <w:sz w:val="20"/>
                <w:szCs w:val="20"/>
                <w:lang w:eastAsia="en-GB"/>
              </w:rPr>
            </w:pPr>
            <w:r w:rsidRPr="008259DA">
              <w:rPr>
                <w:rFonts w:eastAsia="Times New Roman" w:cs="Arial"/>
                <w:b/>
                <w:bCs/>
                <w:sz w:val="20"/>
                <w:szCs w:val="20"/>
                <w:lang w:eastAsia="en-GB"/>
              </w:rPr>
              <w:t>3.2.2</w:t>
            </w:r>
          </w:p>
        </w:tc>
        <w:tc>
          <w:tcPr>
            <w:tcW w:w="2835" w:type="dxa"/>
            <w:tcBorders>
              <w:top w:val="nil"/>
              <w:left w:val="nil"/>
              <w:bottom w:val="single" w:sz="4" w:space="0" w:color="auto"/>
              <w:right w:val="single" w:sz="4" w:space="0" w:color="auto"/>
            </w:tcBorders>
            <w:shd w:val="clear" w:color="000000" w:fill="FFFFFF"/>
            <w:hideMark/>
          </w:tcPr>
          <w:p w14:paraId="6C8F13EE" w14:textId="77777777" w:rsidR="00510203" w:rsidRPr="008259DA" w:rsidRDefault="00510203" w:rsidP="00664924">
            <w:pPr>
              <w:spacing w:after="0"/>
              <w:jc w:val="left"/>
              <w:rPr>
                <w:rFonts w:eastAsia="Times New Roman" w:cs="Arial"/>
                <w:sz w:val="20"/>
                <w:szCs w:val="20"/>
                <w:lang w:eastAsia="en-GB"/>
              </w:rPr>
            </w:pPr>
            <w:r w:rsidRPr="008259DA">
              <w:rPr>
                <w:rFonts w:eastAsia="Times New Roman" w:cs="Arial"/>
                <w:sz w:val="20"/>
                <w:szCs w:val="20"/>
                <w:lang w:eastAsia="en-GB"/>
              </w:rPr>
              <w:t>SEN &amp; DISABILITY</w:t>
            </w:r>
          </w:p>
        </w:tc>
        <w:tc>
          <w:tcPr>
            <w:tcW w:w="1276" w:type="dxa"/>
            <w:tcBorders>
              <w:top w:val="nil"/>
              <w:left w:val="nil"/>
              <w:bottom w:val="single" w:sz="4" w:space="0" w:color="auto"/>
              <w:right w:val="single" w:sz="4" w:space="0" w:color="auto"/>
            </w:tcBorders>
            <w:shd w:val="clear" w:color="auto" w:fill="auto"/>
            <w:hideMark/>
          </w:tcPr>
          <w:p w14:paraId="47FC72CB"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 xml:space="preserve">16.797 </w:t>
            </w:r>
          </w:p>
        </w:tc>
        <w:tc>
          <w:tcPr>
            <w:tcW w:w="1134" w:type="dxa"/>
            <w:tcBorders>
              <w:top w:val="nil"/>
              <w:left w:val="nil"/>
              <w:bottom w:val="single" w:sz="4" w:space="0" w:color="auto"/>
              <w:right w:val="single" w:sz="4" w:space="0" w:color="auto"/>
            </w:tcBorders>
            <w:shd w:val="clear" w:color="000000" w:fill="FFFFFF"/>
            <w:hideMark/>
          </w:tcPr>
          <w:p w14:paraId="3ACCADCA"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 xml:space="preserve">15.566 </w:t>
            </w:r>
          </w:p>
        </w:tc>
        <w:tc>
          <w:tcPr>
            <w:tcW w:w="1105" w:type="dxa"/>
            <w:tcBorders>
              <w:top w:val="nil"/>
              <w:left w:val="nil"/>
              <w:bottom w:val="single" w:sz="4" w:space="0" w:color="auto"/>
              <w:right w:val="single" w:sz="4" w:space="0" w:color="auto"/>
            </w:tcBorders>
            <w:shd w:val="clear" w:color="auto" w:fill="auto"/>
            <w:hideMark/>
          </w:tcPr>
          <w:p w14:paraId="5933E244"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 xml:space="preserve">-1.231 </w:t>
            </w:r>
          </w:p>
        </w:tc>
        <w:tc>
          <w:tcPr>
            <w:tcW w:w="1089" w:type="dxa"/>
            <w:tcBorders>
              <w:top w:val="nil"/>
              <w:left w:val="nil"/>
              <w:bottom w:val="single" w:sz="4" w:space="0" w:color="auto"/>
              <w:right w:val="single" w:sz="4" w:space="0" w:color="auto"/>
            </w:tcBorders>
            <w:shd w:val="clear" w:color="auto" w:fill="auto"/>
            <w:hideMark/>
          </w:tcPr>
          <w:p w14:paraId="367C3A46"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 xml:space="preserve">-1.146 </w:t>
            </w:r>
          </w:p>
        </w:tc>
        <w:tc>
          <w:tcPr>
            <w:tcW w:w="1088" w:type="dxa"/>
            <w:tcBorders>
              <w:top w:val="nil"/>
              <w:left w:val="nil"/>
              <w:bottom w:val="single" w:sz="4" w:space="0" w:color="auto"/>
              <w:right w:val="single" w:sz="4" w:space="0" w:color="auto"/>
            </w:tcBorders>
            <w:shd w:val="clear" w:color="auto" w:fill="auto"/>
            <w:hideMark/>
          </w:tcPr>
          <w:p w14:paraId="56D454AA"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-7.33%</w:t>
            </w:r>
          </w:p>
        </w:tc>
      </w:tr>
      <w:tr w:rsidR="00510203" w:rsidRPr="008259DA" w14:paraId="03F10CA2" w14:textId="77777777" w:rsidTr="00E118FC">
        <w:trPr>
          <w:trHeight w:val="554"/>
        </w:trPr>
        <w:tc>
          <w:tcPr>
            <w:tcW w:w="710" w:type="dxa"/>
            <w:tcBorders>
              <w:top w:val="nil"/>
              <w:left w:val="single" w:sz="4" w:space="0" w:color="auto"/>
              <w:bottom w:val="single" w:sz="4" w:space="0" w:color="auto"/>
              <w:right w:val="single" w:sz="4" w:space="0" w:color="auto"/>
            </w:tcBorders>
            <w:shd w:val="clear" w:color="000000" w:fill="FFFFFF"/>
            <w:noWrap/>
            <w:hideMark/>
          </w:tcPr>
          <w:p w14:paraId="422A651E" w14:textId="77777777" w:rsidR="00510203" w:rsidRPr="008259DA" w:rsidRDefault="00510203" w:rsidP="00E118FC">
            <w:pPr>
              <w:spacing w:after="0"/>
              <w:jc w:val="center"/>
              <w:rPr>
                <w:rFonts w:eastAsia="Times New Roman" w:cs="Arial"/>
                <w:b/>
                <w:bCs/>
                <w:sz w:val="20"/>
                <w:szCs w:val="20"/>
                <w:lang w:eastAsia="en-GB"/>
              </w:rPr>
            </w:pPr>
            <w:r w:rsidRPr="008259DA">
              <w:rPr>
                <w:rFonts w:eastAsia="Times New Roman" w:cs="Arial"/>
                <w:b/>
                <w:bCs/>
                <w:sz w:val="20"/>
                <w:szCs w:val="20"/>
                <w:lang w:eastAsia="en-GB"/>
              </w:rPr>
              <w:t>3.2.3</w:t>
            </w:r>
          </w:p>
        </w:tc>
        <w:tc>
          <w:tcPr>
            <w:tcW w:w="2835" w:type="dxa"/>
            <w:tcBorders>
              <w:top w:val="nil"/>
              <w:left w:val="nil"/>
              <w:bottom w:val="single" w:sz="4" w:space="0" w:color="auto"/>
              <w:right w:val="single" w:sz="4" w:space="0" w:color="auto"/>
            </w:tcBorders>
            <w:shd w:val="clear" w:color="000000" w:fill="FFFFFF"/>
            <w:hideMark/>
          </w:tcPr>
          <w:p w14:paraId="6F760A2F" w14:textId="77777777" w:rsidR="00510203" w:rsidRPr="008259DA" w:rsidRDefault="00510203" w:rsidP="00664924">
            <w:pPr>
              <w:spacing w:after="0"/>
              <w:jc w:val="left"/>
              <w:rPr>
                <w:rFonts w:eastAsia="Times New Roman" w:cs="Arial"/>
                <w:sz w:val="20"/>
                <w:szCs w:val="20"/>
                <w:lang w:eastAsia="en-GB"/>
              </w:rPr>
            </w:pPr>
            <w:r w:rsidRPr="008259DA">
              <w:rPr>
                <w:rFonts w:eastAsia="Times New Roman" w:cs="Arial"/>
                <w:sz w:val="20"/>
                <w:szCs w:val="20"/>
                <w:lang w:eastAsia="en-GB"/>
              </w:rPr>
              <w:t>SAFEGUARDING INSPEC   &amp; AUDIT</w:t>
            </w:r>
          </w:p>
        </w:tc>
        <w:tc>
          <w:tcPr>
            <w:tcW w:w="1276" w:type="dxa"/>
            <w:tcBorders>
              <w:top w:val="nil"/>
              <w:left w:val="nil"/>
              <w:bottom w:val="single" w:sz="4" w:space="0" w:color="auto"/>
              <w:right w:val="single" w:sz="4" w:space="0" w:color="auto"/>
            </w:tcBorders>
            <w:shd w:val="clear" w:color="auto" w:fill="auto"/>
            <w:hideMark/>
          </w:tcPr>
          <w:p w14:paraId="1E71A88F"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 xml:space="preserve">10.494 </w:t>
            </w:r>
          </w:p>
        </w:tc>
        <w:tc>
          <w:tcPr>
            <w:tcW w:w="1134" w:type="dxa"/>
            <w:tcBorders>
              <w:top w:val="nil"/>
              <w:left w:val="nil"/>
              <w:bottom w:val="single" w:sz="4" w:space="0" w:color="auto"/>
              <w:right w:val="single" w:sz="4" w:space="0" w:color="auto"/>
            </w:tcBorders>
            <w:shd w:val="clear" w:color="000000" w:fill="FFFFFF"/>
            <w:hideMark/>
          </w:tcPr>
          <w:p w14:paraId="095C369E"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 xml:space="preserve">10.936 </w:t>
            </w:r>
          </w:p>
        </w:tc>
        <w:tc>
          <w:tcPr>
            <w:tcW w:w="1105" w:type="dxa"/>
            <w:tcBorders>
              <w:top w:val="nil"/>
              <w:left w:val="nil"/>
              <w:bottom w:val="single" w:sz="4" w:space="0" w:color="auto"/>
              <w:right w:val="single" w:sz="4" w:space="0" w:color="auto"/>
            </w:tcBorders>
            <w:shd w:val="clear" w:color="auto" w:fill="auto"/>
            <w:hideMark/>
          </w:tcPr>
          <w:p w14:paraId="31A7F582"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 xml:space="preserve">0.442 </w:t>
            </w:r>
          </w:p>
        </w:tc>
        <w:tc>
          <w:tcPr>
            <w:tcW w:w="1089" w:type="dxa"/>
            <w:tcBorders>
              <w:top w:val="nil"/>
              <w:left w:val="nil"/>
              <w:bottom w:val="single" w:sz="4" w:space="0" w:color="auto"/>
              <w:right w:val="single" w:sz="4" w:space="0" w:color="auto"/>
            </w:tcBorders>
            <w:shd w:val="clear" w:color="auto" w:fill="auto"/>
            <w:hideMark/>
          </w:tcPr>
          <w:p w14:paraId="13825937"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 xml:space="preserve">0.484 </w:t>
            </w:r>
          </w:p>
        </w:tc>
        <w:tc>
          <w:tcPr>
            <w:tcW w:w="1088" w:type="dxa"/>
            <w:tcBorders>
              <w:top w:val="nil"/>
              <w:left w:val="nil"/>
              <w:bottom w:val="single" w:sz="4" w:space="0" w:color="auto"/>
              <w:right w:val="single" w:sz="4" w:space="0" w:color="auto"/>
            </w:tcBorders>
            <w:shd w:val="clear" w:color="auto" w:fill="auto"/>
            <w:hideMark/>
          </w:tcPr>
          <w:p w14:paraId="0AA5566B"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4.21%</w:t>
            </w:r>
          </w:p>
        </w:tc>
      </w:tr>
      <w:tr w:rsidR="00510203" w:rsidRPr="008259DA" w14:paraId="20DC28DA" w14:textId="77777777" w:rsidTr="00E118FC">
        <w:trPr>
          <w:trHeight w:val="554"/>
        </w:trPr>
        <w:tc>
          <w:tcPr>
            <w:tcW w:w="710" w:type="dxa"/>
            <w:tcBorders>
              <w:top w:val="nil"/>
              <w:left w:val="single" w:sz="4" w:space="0" w:color="auto"/>
              <w:bottom w:val="single" w:sz="4" w:space="0" w:color="auto"/>
              <w:right w:val="single" w:sz="4" w:space="0" w:color="auto"/>
            </w:tcBorders>
            <w:shd w:val="clear" w:color="000000" w:fill="FFFFFF"/>
            <w:noWrap/>
            <w:hideMark/>
          </w:tcPr>
          <w:p w14:paraId="517E5A73" w14:textId="77777777" w:rsidR="00510203" w:rsidRPr="008259DA" w:rsidRDefault="00510203" w:rsidP="00E118FC">
            <w:pPr>
              <w:spacing w:after="0"/>
              <w:jc w:val="center"/>
              <w:rPr>
                <w:rFonts w:eastAsia="Times New Roman" w:cs="Arial"/>
                <w:b/>
                <w:bCs/>
                <w:sz w:val="20"/>
                <w:szCs w:val="20"/>
                <w:lang w:eastAsia="en-GB"/>
              </w:rPr>
            </w:pPr>
            <w:r w:rsidRPr="008259DA">
              <w:rPr>
                <w:rFonts w:eastAsia="Times New Roman" w:cs="Arial"/>
                <w:b/>
                <w:bCs/>
                <w:sz w:val="20"/>
                <w:szCs w:val="20"/>
                <w:lang w:eastAsia="en-GB"/>
              </w:rPr>
              <w:t>3.2.4</w:t>
            </w:r>
          </w:p>
        </w:tc>
        <w:tc>
          <w:tcPr>
            <w:tcW w:w="2835" w:type="dxa"/>
            <w:tcBorders>
              <w:top w:val="nil"/>
              <w:left w:val="nil"/>
              <w:bottom w:val="single" w:sz="4" w:space="0" w:color="auto"/>
              <w:right w:val="single" w:sz="4" w:space="0" w:color="auto"/>
            </w:tcBorders>
            <w:shd w:val="clear" w:color="000000" w:fill="FFFFFF"/>
            <w:hideMark/>
          </w:tcPr>
          <w:p w14:paraId="7760BF12" w14:textId="77777777" w:rsidR="00510203" w:rsidRPr="008259DA" w:rsidRDefault="00510203" w:rsidP="00664924">
            <w:pPr>
              <w:spacing w:after="0"/>
              <w:jc w:val="left"/>
              <w:rPr>
                <w:rFonts w:eastAsia="Times New Roman" w:cs="Arial"/>
                <w:sz w:val="20"/>
                <w:szCs w:val="20"/>
                <w:lang w:eastAsia="en-GB"/>
              </w:rPr>
            </w:pPr>
            <w:r w:rsidRPr="008259DA">
              <w:rPr>
                <w:rFonts w:eastAsia="Times New Roman" w:cs="Arial"/>
                <w:sz w:val="20"/>
                <w:szCs w:val="20"/>
                <w:lang w:eastAsia="en-GB"/>
              </w:rPr>
              <w:t>ADOPTION &amp; FOSTERING  RESIDENTIAL AND YOT</w:t>
            </w:r>
          </w:p>
        </w:tc>
        <w:tc>
          <w:tcPr>
            <w:tcW w:w="1276" w:type="dxa"/>
            <w:tcBorders>
              <w:top w:val="nil"/>
              <w:left w:val="nil"/>
              <w:bottom w:val="single" w:sz="4" w:space="0" w:color="auto"/>
              <w:right w:val="single" w:sz="4" w:space="0" w:color="auto"/>
            </w:tcBorders>
            <w:shd w:val="clear" w:color="auto" w:fill="auto"/>
            <w:hideMark/>
          </w:tcPr>
          <w:p w14:paraId="558F18D0"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 xml:space="preserve">27.955 </w:t>
            </w:r>
          </w:p>
        </w:tc>
        <w:tc>
          <w:tcPr>
            <w:tcW w:w="1134" w:type="dxa"/>
            <w:tcBorders>
              <w:top w:val="nil"/>
              <w:left w:val="nil"/>
              <w:bottom w:val="single" w:sz="4" w:space="0" w:color="auto"/>
              <w:right w:val="single" w:sz="4" w:space="0" w:color="auto"/>
            </w:tcBorders>
            <w:shd w:val="clear" w:color="000000" w:fill="FFFFFF"/>
            <w:hideMark/>
          </w:tcPr>
          <w:p w14:paraId="6DB7C664"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 xml:space="preserve">26.342 </w:t>
            </w:r>
          </w:p>
        </w:tc>
        <w:tc>
          <w:tcPr>
            <w:tcW w:w="1105" w:type="dxa"/>
            <w:tcBorders>
              <w:top w:val="nil"/>
              <w:left w:val="nil"/>
              <w:bottom w:val="single" w:sz="4" w:space="0" w:color="auto"/>
              <w:right w:val="single" w:sz="4" w:space="0" w:color="auto"/>
            </w:tcBorders>
            <w:shd w:val="clear" w:color="auto" w:fill="auto"/>
            <w:hideMark/>
          </w:tcPr>
          <w:p w14:paraId="3E42DA92"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 xml:space="preserve">-1.613 </w:t>
            </w:r>
          </w:p>
        </w:tc>
        <w:tc>
          <w:tcPr>
            <w:tcW w:w="1089" w:type="dxa"/>
            <w:tcBorders>
              <w:top w:val="nil"/>
              <w:left w:val="nil"/>
              <w:bottom w:val="single" w:sz="4" w:space="0" w:color="auto"/>
              <w:right w:val="single" w:sz="4" w:space="0" w:color="auto"/>
            </w:tcBorders>
            <w:shd w:val="clear" w:color="auto" w:fill="auto"/>
            <w:hideMark/>
          </w:tcPr>
          <w:p w14:paraId="25C7F0C7"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 xml:space="preserve">-1.670 </w:t>
            </w:r>
          </w:p>
        </w:tc>
        <w:tc>
          <w:tcPr>
            <w:tcW w:w="1088" w:type="dxa"/>
            <w:tcBorders>
              <w:top w:val="nil"/>
              <w:left w:val="nil"/>
              <w:bottom w:val="single" w:sz="4" w:space="0" w:color="auto"/>
              <w:right w:val="single" w:sz="4" w:space="0" w:color="auto"/>
            </w:tcBorders>
            <w:shd w:val="clear" w:color="auto" w:fill="auto"/>
            <w:hideMark/>
          </w:tcPr>
          <w:p w14:paraId="026CBEB0"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-5.77%</w:t>
            </w:r>
          </w:p>
        </w:tc>
      </w:tr>
      <w:tr w:rsidR="00510203" w:rsidRPr="008259DA" w14:paraId="2E6589DC" w14:textId="77777777" w:rsidTr="00E118FC">
        <w:trPr>
          <w:trHeight w:val="554"/>
        </w:trPr>
        <w:tc>
          <w:tcPr>
            <w:tcW w:w="710" w:type="dxa"/>
            <w:tcBorders>
              <w:top w:val="nil"/>
              <w:left w:val="single" w:sz="4" w:space="0" w:color="auto"/>
              <w:bottom w:val="single" w:sz="4" w:space="0" w:color="auto"/>
              <w:right w:val="single" w:sz="4" w:space="0" w:color="auto"/>
            </w:tcBorders>
            <w:shd w:val="clear" w:color="auto" w:fill="auto"/>
            <w:noWrap/>
            <w:hideMark/>
          </w:tcPr>
          <w:p w14:paraId="3917EE8B" w14:textId="77777777" w:rsidR="00510203" w:rsidRPr="008259DA" w:rsidRDefault="00510203" w:rsidP="00E118FC">
            <w:pPr>
              <w:spacing w:after="0"/>
              <w:jc w:val="center"/>
              <w:rPr>
                <w:rFonts w:eastAsia="Times New Roman" w:cs="Arial"/>
                <w:b/>
                <w:bCs/>
                <w:sz w:val="20"/>
                <w:szCs w:val="20"/>
                <w:lang w:eastAsia="en-GB"/>
              </w:rPr>
            </w:pPr>
            <w:r w:rsidRPr="008259DA">
              <w:rPr>
                <w:rFonts w:eastAsia="Times New Roman" w:cs="Arial"/>
                <w:b/>
                <w:bCs/>
                <w:sz w:val="20"/>
                <w:szCs w:val="20"/>
                <w:lang w:eastAsia="en-GB"/>
              </w:rPr>
              <w:t>3.2.5</w:t>
            </w:r>
          </w:p>
        </w:tc>
        <w:tc>
          <w:tcPr>
            <w:tcW w:w="2835" w:type="dxa"/>
            <w:tcBorders>
              <w:top w:val="nil"/>
              <w:left w:val="nil"/>
              <w:bottom w:val="single" w:sz="4" w:space="0" w:color="auto"/>
              <w:right w:val="single" w:sz="4" w:space="0" w:color="auto"/>
            </w:tcBorders>
            <w:shd w:val="clear" w:color="auto" w:fill="auto"/>
            <w:hideMark/>
          </w:tcPr>
          <w:p w14:paraId="66270F94" w14:textId="77777777" w:rsidR="00510203" w:rsidRPr="008259DA" w:rsidRDefault="00510203" w:rsidP="00664924">
            <w:pPr>
              <w:spacing w:after="0"/>
              <w:jc w:val="left"/>
              <w:rPr>
                <w:rFonts w:eastAsia="Times New Roman" w:cs="Arial"/>
                <w:sz w:val="20"/>
                <w:szCs w:val="20"/>
                <w:lang w:eastAsia="en-GB"/>
              </w:rPr>
            </w:pPr>
            <w:r w:rsidRPr="008259DA">
              <w:rPr>
                <w:rFonts w:eastAsia="Times New Roman" w:cs="Arial"/>
                <w:sz w:val="20"/>
                <w:szCs w:val="20"/>
                <w:lang w:eastAsia="en-GB"/>
              </w:rPr>
              <w:t>CHILDREN SOCIAL CARE</w:t>
            </w:r>
          </w:p>
        </w:tc>
        <w:tc>
          <w:tcPr>
            <w:tcW w:w="1276" w:type="dxa"/>
            <w:tcBorders>
              <w:top w:val="nil"/>
              <w:left w:val="nil"/>
              <w:bottom w:val="single" w:sz="4" w:space="0" w:color="auto"/>
              <w:right w:val="single" w:sz="4" w:space="0" w:color="auto"/>
            </w:tcBorders>
            <w:shd w:val="clear" w:color="auto" w:fill="auto"/>
            <w:hideMark/>
          </w:tcPr>
          <w:p w14:paraId="038D8CBE"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 xml:space="preserve">91.295 </w:t>
            </w:r>
          </w:p>
        </w:tc>
        <w:tc>
          <w:tcPr>
            <w:tcW w:w="1134" w:type="dxa"/>
            <w:tcBorders>
              <w:top w:val="nil"/>
              <w:left w:val="nil"/>
              <w:bottom w:val="single" w:sz="4" w:space="0" w:color="auto"/>
              <w:right w:val="single" w:sz="4" w:space="0" w:color="auto"/>
            </w:tcBorders>
            <w:shd w:val="clear" w:color="000000" w:fill="FFFFFF"/>
            <w:hideMark/>
          </w:tcPr>
          <w:p w14:paraId="685CFEAE"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 xml:space="preserve">96.073 </w:t>
            </w:r>
          </w:p>
        </w:tc>
        <w:tc>
          <w:tcPr>
            <w:tcW w:w="1105" w:type="dxa"/>
            <w:tcBorders>
              <w:top w:val="nil"/>
              <w:left w:val="nil"/>
              <w:bottom w:val="single" w:sz="4" w:space="0" w:color="auto"/>
              <w:right w:val="single" w:sz="4" w:space="0" w:color="auto"/>
            </w:tcBorders>
            <w:shd w:val="clear" w:color="auto" w:fill="auto"/>
            <w:hideMark/>
          </w:tcPr>
          <w:p w14:paraId="52A3591D"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 xml:space="preserve">4.778 </w:t>
            </w:r>
          </w:p>
        </w:tc>
        <w:tc>
          <w:tcPr>
            <w:tcW w:w="1089" w:type="dxa"/>
            <w:tcBorders>
              <w:top w:val="nil"/>
              <w:left w:val="nil"/>
              <w:bottom w:val="single" w:sz="4" w:space="0" w:color="auto"/>
              <w:right w:val="single" w:sz="4" w:space="0" w:color="auto"/>
            </w:tcBorders>
            <w:shd w:val="clear" w:color="auto" w:fill="auto"/>
            <w:hideMark/>
          </w:tcPr>
          <w:p w14:paraId="5F9E89B2"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 xml:space="preserve">4.264 </w:t>
            </w:r>
          </w:p>
        </w:tc>
        <w:tc>
          <w:tcPr>
            <w:tcW w:w="1088" w:type="dxa"/>
            <w:tcBorders>
              <w:top w:val="nil"/>
              <w:left w:val="nil"/>
              <w:bottom w:val="single" w:sz="4" w:space="0" w:color="auto"/>
              <w:right w:val="single" w:sz="4" w:space="0" w:color="auto"/>
            </w:tcBorders>
            <w:shd w:val="clear" w:color="auto" w:fill="auto"/>
            <w:hideMark/>
          </w:tcPr>
          <w:p w14:paraId="60155B89"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5.23%</w:t>
            </w:r>
          </w:p>
        </w:tc>
      </w:tr>
      <w:tr w:rsidR="00510203" w:rsidRPr="008259DA" w14:paraId="4F60B87A" w14:textId="77777777" w:rsidTr="00E118FC">
        <w:trPr>
          <w:trHeight w:val="554"/>
        </w:trPr>
        <w:tc>
          <w:tcPr>
            <w:tcW w:w="710" w:type="dxa"/>
            <w:tcBorders>
              <w:top w:val="nil"/>
              <w:left w:val="single" w:sz="4" w:space="0" w:color="auto"/>
              <w:bottom w:val="single" w:sz="4" w:space="0" w:color="auto"/>
              <w:right w:val="single" w:sz="4" w:space="0" w:color="auto"/>
            </w:tcBorders>
            <w:shd w:val="clear" w:color="000000" w:fill="FFFFFF"/>
            <w:noWrap/>
            <w:hideMark/>
          </w:tcPr>
          <w:p w14:paraId="086696C4" w14:textId="77777777" w:rsidR="00510203" w:rsidRPr="008259DA" w:rsidRDefault="00510203" w:rsidP="00E118FC">
            <w:pPr>
              <w:spacing w:after="0"/>
              <w:jc w:val="center"/>
              <w:rPr>
                <w:rFonts w:eastAsia="Times New Roman" w:cs="Arial"/>
                <w:b/>
                <w:bCs/>
                <w:sz w:val="20"/>
                <w:szCs w:val="20"/>
                <w:lang w:eastAsia="en-GB"/>
              </w:rPr>
            </w:pPr>
            <w:r w:rsidRPr="008259DA">
              <w:rPr>
                <w:rFonts w:eastAsia="Times New Roman" w:cs="Arial"/>
                <w:b/>
                <w:bCs/>
                <w:sz w:val="20"/>
                <w:szCs w:val="20"/>
                <w:lang w:eastAsia="en-GB"/>
              </w:rPr>
              <w:t>3.2.6</w:t>
            </w:r>
          </w:p>
        </w:tc>
        <w:tc>
          <w:tcPr>
            <w:tcW w:w="2835" w:type="dxa"/>
            <w:tcBorders>
              <w:top w:val="nil"/>
              <w:left w:val="nil"/>
              <w:bottom w:val="single" w:sz="4" w:space="0" w:color="auto"/>
              <w:right w:val="single" w:sz="4" w:space="0" w:color="auto"/>
            </w:tcBorders>
            <w:shd w:val="clear" w:color="000000" w:fill="FFFFFF"/>
            <w:hideMark/>
          </w:tcPr>
          <w:p w14:paraId="62B28883" w14:textId="77777777" w:rsidR="00510203" w:rsidRPr="008259DA" w:rsidRDefault="00510203" w:rsidP="00664924">
            <w:pPr>
              <w:spacing w:after="0"/>
              <w:jc w:val="left"/>
              <w:rPr>
                <w:rFonts w:eastAsia="Times New Roman" w:cs="Arial"/>
                <w:sz w:val="20"/>
                <w:szCs w:val="20"/>
                <w:lang w:eastAsia="en-GB"/>
              </w:rPr>
            </w:pPr>
            <w:r w:rsidRPr="008259DA">
              <w:rPr>
                <w:rFonts w:eastAsia="Times New Roman" w:cs="Arial"/>
                <w:sz w:val="20"/>
                <w:szCs w:val="20"/>
                <w:lang w:eastAsia="en-GB"/>
              </w:rPr>
              <w:t>SCHOOL IMPROVEMENT</w:t>
            </w:r>
          </w:p>
        </w:tc>
        <w:tc>
          <w:tcPr>
            <w:tcW w:w="1276" w:type="dxa"/>
            <w:tcBorders>
              <w:top w:val="nil"/>
              <w:left w:val="nil"/>
              <w:bottom w:val="single" w:sz="4" w:space="0" w:color="auto"/>
              <w:right w:val="single" w:sz="4" w:space="0" w:color="auto"/>
            </w:tcBorders>
            <w:shd w:val="clear" w:color="auto" w:fill="auto"/>
            <w:hideMark/>
          </w:tcPr>
          <w:p w14:paraId="762BE2FA"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 xml:space="preserve">6.196 </w:t>
            </w:r>
          </w:p>
        </w:tc>
        <w:tc>
          <w:tcPr>
            <w:tcW w:w="1134" w:type="dxa"/>
            <w:tcBorders>
              <w:top w:val="nil"/>
              <w:left w:val="nil"/>
              <w:bottom w:val="single" w:sz="4" w:space="0" w:color="auto"/>
              <w:right w:val="single" w:sz="4" w:space="0" w:color="auto"/>
            </w:tcBorders>
            <w:shd w:val="clear" w:color="000000" w:fill="FFFFFF"/>
            <w:hideMark/>
          </w:tcPr>
          <w:p w14:paraId="0CAF856A"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 xml:space="preserve">5.541 </w:t>
            </w:r>
          </w:p>
        </w:tc>
        <w:tc>
          <w:tcPr>
            <w:tcW w:w="1105" w:type="dxa"/>
            <w:tcBorders>
              <w:top w:val="nil"/>
              <w:left w:val="nil"/>
              <w:bottom w:val="single" w:sz="4" w:space="0" w:color="auto"/>
              <w:right w:val="single" w:sz="4" w:space="0" w:color="auto"/>
            </w:tcBorders>
            <w:shd w:val="clear" w:color="auto" w:fill="auto"/>
            <w:hideMark/>
          </w:tcPr>
          <w:p w14:paraId="449DD8E6"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 xml:space="preserve">-0.655 </w:t>
            </w:r>
          </w:p>
        </w:tc>
        <w:tc>
          <w:tcPr>
            <w:tcW w:w="1089" w:type="dxa"/>
            <w:tcBorders>
              <w:top w:val="nil"/>
              <w:left w:val="nil"/>
              <w:bottom w:val="single" w:sz="4" w:space="0" w:color="auto"/>
              <w:right w:val="single" w:sz="4" w:space="0" w:color="auto"/>
            </w:tcBorders>
            <w:shd w:val="clear" w:color="auto" w:fill="auto"/>
            <w:hideMark/>
          </w:tcPr>
          <w:p w14:paraId="7696BB87"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 xml:space="preserve">-0.766 </w:t>
            </w:r>
          </w:p>
        </w:tc>
        <w:tc>
          <w:tcPr>
            <w:tcW w:w="1088" w:type="dxa"/>
            <w:tcBorders>
              <w:top w:val="nil"/>
              <w:left w:val="nil"/>
              <w:bottom w:val="single" w:sz="4" w:space="0" w:color="auto"/>
              <w:right w:val="single" w:sz="4" w:space="0" w:color="auto"/>
            </w:tcBorders>
            <w:shd w:val="clear" w:color="auto" w:fill="auto"/>
            <w:hideMark/>
          </w:tcPr>
          <w:p w14:paraId="0FA5314B"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-10.57%</w:t>
            </w:r>
          </w:p>
        </w:tc>
      </w:tr>
      <w:tr w:rsidR="00510203" w:rsidRPr="008259DA" w14:paraId="2CE057ED" w14:textId="77777777" w:rsidTr="00E118FC">
        <w:trPr>
          <w:trHeight w:val="554"/>
        </w:trPr>
        <w:tc>
          <w:tcPr>
            <w:tcW w:w="710" w:type="dxa"/>
            <w:tcBorders>
              <w:top w:val="nil"/>
              <w:left w:val="single" w:sz="4" w:space="0" w:color="auto"/>
              <w:bottom w:val="single" w:sz="4" w:space="0" w:color="auto"/>
              <w:right w:val="single" w:sz="4" w:space="0" w:color="auto"/>
            </w:tcBorders>
            <w:shd w:val="clear" w:color="000000" w:fill="FFFFFF"/>
            <w:noWrap/>
            <w:hideMark/>
          </w:tcPr>
          <w:p w14:paraId="4C91FCEE" w14:textId="77777777" w:rsidR="00510203" w:rsidRPr="008259DA" w:rsidRDefault="00510203" w:rsidP="00E118FC">
            <w:pPr>
              <w:spacing w:after="0"/>
              <w:jc w:val="center"/>
              <w:rPr>
                <w:rFonts w:eastAsia="Times New Roman" w:cs="Arial"/>
                <w:b/>
                <w:bCs/>
                <w:sz w:val="20"/>
                <w:szCs w:val="20"/>
                <w:lang w:eastAsia="en-GB"/>
              </w:rPr>
            </w:pPr>
            <w:r w:rsidRPr="008259DA">
              <w:rPr>
                <w:rFonts w:eastAsia="Times New Roman" w:cs="Arial"/>
                <w:b/>
                <w:bCs/>
                <w:sz w:val="20"/>
                <w:szCs w:val="20"/>
                <w:lang w:eastAsia="en-GB"/>
              </w:rPr>
              <w:t>3.2.7</w:t>
            </w:r>
          </w:p>
        </w:tc>
        <w:tc>
          <w:tcPr>
            <w:tcW w:w="2835" w:type="dxa"/>
            <w:tcBorders>
              <w:top w:val="nil"/>
              <w:left w:val="nil"/>
              <w:bottom w:val="single" w:sz="4" w:space="0" w:color="auto"/>
              <w:right w:val="single" w:sz="4" w:space="0" w:color="auto"/>
            </w:tcBorders>
            <w:shd w:val="clear" w:color="000000" w:fill="FFFFFF"/>
            <w:hideMark/>
          </w:tcPr>
          <w:p w14:paraId="17A123C9" w14:textId="3415DCB8" w:rsidR="00510203" w:rsidRPr="008259DA" w:rsidRDefault="00926684" w:rsidP="00664924">
            <w:pPr>
              <w:spacing w:after="0"/>
              <w:jc w:val="left"/>
              <w:rPr>
                <w:rFonts w:eastAsia="Times New Roman" w:cs="Arial"/>
                <w:sz w:val="20"/>
                <w:szCs w:val="20"/>
                <w:lang w:eastAsia="en-GB"/>
              </w:rPr>
            </w:pPr>
            <w:r>
              <w:rPr>
                <w:rFonts w:eastAsia="Times New Roman" w:cs="Arial"/>
                <w:sz w:val="20"/>
                <w:szCs w:val="20"/>
                <w:lang w:eastAsia="en-GB"/>
              </w:rPr>
              <w:t>LEARNING &amp; SKILLS</w:t>
            </w:r>
            <w:r w:rsidR="00510203" w:rsidRPr="008259DA">
              <w:rPr>
                <w:rFonts w:eastAsia="Times New Roman" w:cs="Arial"/>
                <w:sz w:val="20"/>
                <w:szCs w:val="20"/>
                <w:lang w:eastAsia="en-GB"/>
              </w:rPr>
              <w:t xml:space="preserve"> (START WELL)</w:t>
            </w:r>
          </w:p>
        </w:tc>
        <w:tc>
          <w:tcPr>
            <w:tcW w:w="1276" w:type="dxa"/>
            <w:tcBorders>
              <w:top w:val="nil"/>
              <w:left w:val="nil"/>
              <w:bottom w:val="single" w:sz="4" w:space="0" w:color="auto"/>
              <w:right w:val="single" w:sz="4" w:space="0" w:color="auto"/>
            </w:tcBorders>
            <w:shd w:val="clear" w:color="auto" w:fill="auto"/>
            <w:hideMark/>
          </w:tcPr>
          <w:p w14:paraId="1BE68A06"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 xml:space="preserve">-5.001 </w:t>
            </w:r>
          </w:p>
        </w:tc>
        <w:tc>
          <w:tcPr>
            <w:tcW w:w="1134" w:type="dxa"/>
            <w:tcBorders>
              <w:top w:val="nil"/>
              <w:left w:val="nil"/>
              <w:bottom w:val="single" w:sz="4" w:space="0" w:color="auto"/>
              <w:right w:val="single" w:sz="4" w:space="0" w:color="auto"/>
            </w:tcBorders>
            <w:shd w:val="clear" w:color="000000" w:fill="FFFFFF"/>
            <w:hideMark/>
          </w:tcPr>
          <w:p w14:paraId="7649BDE6"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 xml:space="preserve">-4.070 </w:t>
            </w:r>
          </w:p>
        </w:tc>
        <w:tc>
          <w:tcPr>
            <w:tcW w:w="1105" w:type="dxa"/>
            <w:tcBorders>
              <w:top w:val="nil"/>
              <w:left w:val="nil"/>
              <w:bottom w:val="single" w:sz="4" w:space="0" w:color="auto"/>
              <w:right w:val="single" w:sz="4" w:space="0" w:color="auto"/>
            </w:tcBorders>
            <w:shd w:val="clear" w:color="auto" w:fill="auto"/>
            <w:hideMark/>
          </w:tcPr>
          <w:p w14:paraId="060729D4"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 xml:space="preserve">0.931 </w:t>
            </w:r>
          </w:p>
        </w:tc>
        <w:tc>
          <w:tcPr>
            <w:tcW w:w="1089" w:type="dxa"/>
            <w:tcBorders>
              <w:top w:val="nil"/>
              <w:left w:val="nil"/>
              <w:bottom w:val="single" w:sz="4" w:space="0" w:color="auto"/>
              <w:right w:val="single" w:sz="4" w:space="0" w:color="auto"/>
            </w:tcBorders>
            <w:shd w:val="clear" w:color="auto" w:fill="auto"/>
            <w:hideMark/>
          </w:tcPr>
          <w:p w14:paraId="5BDC5480"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 xml:space="preserve">1.219 </w:t>
            </w:r>
          </w:p>
        </w:tc>
        <w:tc>
          <w:tcPr>
            <w:tcW w:w="1088" w:type="dxa"/>
            <w:tcBorders>
              <w:top w:val="nil"/>
              <w:left w:val="nil"/>
              <w:bottom w:val="single" w:sz="4" w:space="0" w:color="auto"/>
              <w:right w:val="single" w:sz="4" w:space="0" w:color="auto"/>
            </w:tcBorders>
            <w:shd w:val="clear" w:color="auto" w:fill="auto"/>
            <w:hideMark/>
          </w:tcPr>
          <w:p w14:paraId="2EA28BF7" w14:textId="77777777" w:rsidR="00510203" w:rsidRPr="008259DA" w:rsidRDefault="00510203" w:rsidP="00E118FC">
            <w:pPr>
              <w:spacing w:after="0"/>
              <w:jc w:val="right"/>
              <w:rPr>
                <w:rFonts w:eastAsia="Times New Roman" w:cs="Arial"/>
                <w:sz w:val="20"/>
                <w:szCs w:val="20"/>
                <w:lang w:eastAsia="en-GB"/>
              </w:rPr>
            </w:pPr>
            <w:r w:rsidRPr="008259DA">
              <w:rPr>
                <w:rFonts w:eastAsia="Times New Roman" w:cs="Arial"/>
                <w:sz w:val="20"/>
                <w:szCs w:val="20"/>
                <w:lang w:eastAsia="en-GB"/>
              </w:rPr>
              <w:t>18.62%</w:t>
            </w:r>
          </w:p>
        </w:tc>
      </w:tr>
      <w:tr w:rsidR="00510203" w:rsidRPr="008259DA" w14:paraId="5551074C" w14:textId="77777777" w:rsidTr="00E118FC">
        <w:trPr>
          <w:trHeight w:val="554"/>
        </w:trPr>
        <w:tc>
          <w:tcPr>
            <w:tcW w:w="710" w:type="dxa"/>
            <w:tcBorders>
              <w:top w:val="nil"/>
              <w:left w:val="single" w:sz="4" w:space="0" w:color="auto"/>
              <w:bottom w:val="single" w:sz="4" w:space="0" w:color="auto"/>
              <w:right w:val="single" w:sz="4" w:space="0" w:color="auto"/>
            </w:tcBorders>
            <w:shd w:val="clear" w:color="000000" w:fill="D9D9D9"/>
            <w:vAlign w:val="center"/>
            <w:hideMark/>
          </w:tcPr>
          <w:p w14:paraId="3599E6BB" w14:textId="77777777" w:rsidR="00510203" w:rsidRPr="008259DA" w:rsidRDefault="00510203" w:rsidP="00E118FC">
            <w:pPr>
              <w:spacing w:after="0"/>
              <w:jc w:val="right"/>
              <w:rPr>
                <w:rFonts w:eastAsia="Times New Roman" w:cs="Arial"/>
                <w:b/>
                <w:bCs/>
                <w:sz w:val="20"/>
                <w:szCs w:val="20"/>
                <w:lang w:eastAsia="en-GB"/>
              </w:rPr>
            </w:pPr>
            <w:r w:rsidRPr="008259DA">
              <w:rPr>
                <w:rFonts w:eastAsia="Times New Roman" w:cs="Arial"/>
                <w:b/>
                <w:bCs/>
                <w:sz w:val="20"/>
                <w:szCs w:val="20"/>
                <w:lang w:eastAsia="en-GB"/>
              </w:rPr>
              <w:t> </w:t>
            </w:r>
          </w:p>
        </w:tc>
        <w:tc>
          <w:tcPr>
            <w:tcW w:w="2835" w:type="dxa"/>
            <w:tcBorders>
              <w:top w:val="nil"/>
              <w:left w:val="nil"/>
              <w:bottom w:val="single" w:sz="4" w:space="0" w:color="auto"/>
              <w:right w:val="single" w:sz="4" w:space="0" w:color="auto"/>
            </w:tcBorders>
            <w:shd w:val="clear" w:color="000000" w:fill="D9D9D9"/>
            <w:noWrap/>
            <w:vAlign w:val="center"/>
            <w:hideMark/>
          </w:tcPr>
          <w:p w14:paraId="6C356048" w14:textId="77777777" w:rsidR="00510203" w:rsidRPr="008259DA" w:rsidRDefault="00510203" w:rsidP="00664924">
            <w:pPr>
              <w:spacing w:after="0"/>
              <w:jc w:val="left"/>
              <w:rPr>
                <w:rFonts w:eastAsia="Times New Roman" w:cs="Arial"/>
                <w:b/>
                <w:bCs/>
                <w:sz w:val="20"/>
                <w:szCs w:val="20"/>
                <w:lang w:eastAsia="en-GB"/>
              </w:rPr>
            </w:pPr>
            <w:r w:rsidRPr="008259DA">
              <w:rPr>
                <w:rFonts w:eastAsia="Times New Roman" w:cs="Arial"/>
                <w:b/>
                <w:bCs/>
                <w:sz w:val="20"/>
                <w:szCs w:val="20"/>
                <w:lang w:eastAsia="en-GB"/>
              </w:rPr>
              <w:t>TOTAL - CHILDREN'S SERVICES</w:t>
            </w:r>
          </w:p>
        </w:tc>
        <w:tc>
          <w:tcPr>
            <w:tcW w:w="1276" w:type="dxa"/>
            <w:tcBorders>
              <w:top w:val="nil"/>
              <w:left w:val="nil"/>
              <w:bottom w:val="single" w:sz="4" w:space="0" w:color="auto"/>
              <w:right w:val="single" w:sz="4" w:space="0" w:color="auto"/>
            </w:tcBorders>
            <w:shd w:val="clear" w:color="000000" w:fill="D9D9D9"/>
            <w:vAlign w:val="center"/>
            <w:hideMark/>
          </w:tcPr>
          <w:p w14:paraId="56BBADE1" w14:textId="77777777" w:rsidR="00510203" w:rsidRPr="008259DA" w:rsidRDefault="00510203" w:rsidP="00E118FC">
            <w:pPr>
              <w:spacing w:after="0"/>
              <w:jc w:val="right"/>
              <w:rPr>
                <w:rFonts w:eastAsia="Times New Roman" w:cs="Arial"/>
                <w:b/>
                <w:bCs/>
                <w:sz w:val="20"/>
                <w:szCs w:val="20"/>
                <w:lang w:eastAsia="en-GB"/>
              </w:rPr>
            </w:pPr>
            <w:r w:rsidRPr="008259DA">
              <w:rPr>
                <w:rFonts w:eastAsia="Times New Roman" w:cs="Arial"/>
                <w:b/>
                <w:bCs/>
                <w:sz w:val="20"/>
                <w:szCs w:val="20"/>
                <w:lang w:eastAsia="en-GB"/>
              </w:rPr>
              <w:t xml:space="preserve">146.519 </w:t>
            </w:r>
          </w:p>
        </w:tc>
        <w:tc>
          <w:tcPr>
            <w:tcW w:w="1134" w:type="dxa"/>
            <w:tcBorders>
              <w:top w:val="nil"/>
              <w:left w:val="nil"/>
              <w:bottom w:val="single" w:sz="4" w:space="0" w:color="auto"/>
              <w:right w:val="single" w:sz="4" w:space="0" w:color="auto"/>
            </w:tcBorders>
            <w:shd w:val="clear" w:color="000000" w:fill="D9D9D9"/>
            <w:vAlign w:val="center"/>
            <w:hideMark/>
          </w:tcPr>
          <w:p w14:paraId="790A7729" w14:textId="77777777" w:rsidR="00510203" w:rsidRPr="008259DA" w:rsidRDefault="00510203" w:rsidP="00E118FC">
            <w:pPr>
              <w:spacing w:after="0"/>
              <w:jc w:val="right"/>
              <w:rPr>
                <w:rFonts w:eastAsia="Times New Roman" w:cs="Arial"/>
                <w:b/>
                <w:bCs/>
                <w:sz w:val="20"/>
                <w:szCs w:val="20"/>
                <w:lang w:eastAsia="en-GB"/>
              </w:rPr>
            </w:pPr>
            <w:r w:rsidRPr="008259DA">
              <w:rPr>
                <w:rFonts w:eastAsia="Times New Roman" w:cs="Arial"/>
                <w:b/>
                <w:bCs/>
                <w:sz w:val="20"/>
                <w:szCs w:val="20"/>
                <w:lang w:eastAsia="en-GB"/>
              </w:rPr>
              <w:t xml:space="preserve">149.003 </w:t>
            </w:r>
          </w:p>
        </w:tc>
        <w:tc>
          <w:tcPr>
            <w:tcW w:w="1105" w:type="dxa"/>
            <w:tcBorders>
              <w:top w:val="nil"/>
              <w:left w:val="nil"/>
              <w:bottom w:val="single" w:sz="4" w:space="0" w:color="auto"/>
              <w:right w:val="single" w:sz="4" w:space="0" w:color="auto"/>
            </w:tcBorders>
            <w:shd w:val="clear" w:color="000000" w:fill="D9D9D9"/>
            <w:vAlign w:val="center"/>
            <w:hideMark/>
          </w:tcPr>
          <w:p w14:paraId="218A6BB7" w14:textId="77777777" w:rsidR="00510203" w:rsidRPr="008259DA" w:rsidRDefault="00510203" w:rsidP="00E118FC">
            <w:pPr>
              <w:spacing w:after="0"/>
              <w:jc w:val="right"/>
              <w:rPr>
                <w:rFonts w:eastAsia="Times New Roman" w:cs="Arial"/>
                <w:b/>
                <w:bCs/>
                <w:sz w:val="20"/>
                <w:szCs w:val="20"/>
                <w:lang w:eastAsia="en-GB"/>
              </w:rPr>
            </w:pPr>
            <w:r w:rsidRPr="008259DA">
              <w:rPr>
                <w:rFonts w:eastAsia="Times New Roman" w:cs="Arial"/>
                <w:b/>
                <w:bCs/>
                <w:sz w:val="20"/>
                <w:szCs w:val="20"/>
                <w:lang w:eastAsia="en-GB"/>
              </w:rPr>
              <w:t xml:space="preserve">2.484 </w:t>
            </w:r>
          </w:p>
        </w:tc>
        <w:tc>
          <w:tcPr>
            <w:tcW w:w="1089" w:type="dxa"/>
            <w:tcBorders>
              <w:top w:val="nil"/>
              <w:left w:val="nil"/>
              <w:bottom w:val="single" w:sz="4" w:space="0" w:color="auto"/>
              <w:right w:val="single" w:sz="4" w:space="0" w:color="auto"/>
            </w:tcBorders>
            <w:shd w:val="clear" w:color="000000" w:fill="D9D9D9"/>
            <w:vAlign w:val="center"/>
            <w:hideMark/>
          </w:tcPr>
          <w:p w14:paraId="5652FCDB" w14:textId="77777777" w:rsidR="00510203" w:rsidRPr="008259DA" w:rsidRDefault="00510203" w:rsidP="00E118FC">
            <w:pPr>
              <w:spacing w:after="0"/>
              <w:jc w:val="right"/>
              <w:rPr>
                <w:rFonts w:eastAsia="Times New Roman" w:cs="Arial"/>
                <w:b/>
                <w:bCs/>
                <w:sz w:val="20"/>
                <w:szCs w:val="20"/>
                <w:lang w:eastAsia="en-GB"/>
              </w:rPr>
            </w:pPr>
            <w:r w:rsidRPr="008259DA">
              <w:rPr>
                <w:rFonts w:eastAsia="Times New Roman" w:cs="Arial"/>
                <w:b/>
                <w:bCs/>
                <w:sz w:val="20"/>
                <w:szCs w:val="20"/>
                <w:lang w:eastAsia="en-GB"/>
              </w:rPr>
              <w:t xml:space="preserve">2.220 </w:t>
            </w:r>
          </w:p>
        </w:tc>
        <w:tc>
          <w:tcPr>
            <w:tcW w:w="1088" w:type="dxa"/>
            <w:tcBorders>
              <w:top w:val="nil"/>
              <w:left w:val="nil"/>
              <w:bottom w:val="single" w:sz="4" w:space="0" w:color="auto"/>
              <w:right w:val="single" w:sz="4" w:space="0" w:color="auto"/>
            </w:tcBorders>
            <w:shd w:val="clear" w:color="000000" w:fill="D9D9D9"/>
            <w:vAlign w:val="center"/>
            <w:hideMark/>
          </w:tcPr>
          <w:p w14:paraId="48BB524C" w14:textId="77777777" w:rsidR="00510203" w:rsidRPr="008259DA" w:rsidRDefault="00510203" w:rsidP="00E118FC">
            <w:pPr>
              <w:spacing w:after="0"/>
              <w:jc w:val="right"/>
              <w:rPr>
                <w:rFonts w:eastAsia="Times New Roman" w:cs="Arial"/>
                <w:b/>
                <w:bCs/>
                <w:sz w:val="20"/>
                <w:szCs w:val="20"/>
                <w:lang w:eastAsia="en-GB"/>
              </w:rPr>
            </w:pPr>
            <w:r w:rsidRPr="008259DA">
              <w:rPr>
                <w:rFonts w:eastAsia="Times New Roman" w:cs="Arial"/>
                <w:b/>
                <w:bCs/>
                <w:sz w:val="20"/>
                <w:szCs w:val="20"/>
                <w:lang w:eastAsia="en-GB"/>
              </w:rPr>
              <w:t>1.70%</w:t>
            </w:r>
          </w:p>
        </w:tc>
      </w:tr>
    </w:tbl>
    <w:p w14:paraId="2091D8B6" w14:textId="77777777" w:rsidR="00510203" w:rsidRDefault="00510203" w:rsidP="00510203">
      <w:pPr>
        <w:spacing w:after="0"/>
        <w:rPr>
          <w:rFonts w:cs="Arial"/>
          <w:b/>
          <w:u w:val="single"/>
        </w:rPr>
      </w:pPr>
    </w:p>
    <w:p w14:paraId="16337963" w14:textId="59C9AB72" w:rsidR="00510203" w:rsidRDefault="00510203" w:rsidP="00510203">
      <w:pPr>
        <w:spacing w:after="0"/>
        <w:rPr>
          <w:rFonts w:cs="Arial"/>
        </w:rPr>
      </w:pPr>
      <w:r>
        <w:rPr>
          <w:rFonts w:cs="Arial"/>
        </w:rPr>
        <w:t>Children's Services is forecast to over</w:t>
      </w:r>
      <w:r w:rsidRPr="001A56D2">
        <w:rPr>
          <w:rFonts w:cs="Arial"/>
        </w:rPr>
        <w:t>spend by £</w:t>
      </w:r>
      <w:r>
        <w:rPr>
          <w:rFonts w:cs="Arial"/>
        </w:rPr>
        <w:t>2.484</w:t>
      </w:r>
      <w:r w:rsidRPr="001A56D2">
        <w:rPr>
          <w:rFonts w:cs="Arial"/>
        </w:rPr>
        <w:t xml:space="preserve">m. The </w:t>
      </w:r>
      <w:r w:rsidR="009D6C22">
        <w:rPr>
          <w:rFonts w:cs="Arial"/>
        </w:rPr>
        <w:t>overspend at Quarter 3</w:t>
      </w:r>
      <w:r>
        <w:rPr>
          <w:rFonts w:cs="Arial"/>
        </w:rPr>
        <w:t xml:space="preserve"> has increased by £0.264</w:t>
      </w:r>
      <w:r w:rsidRPr="001A56D2">
        <w:rPr>
          <w:rFonts w:cs="Arial"/>
        </w:rPr>
        <w:t>m compared to Quarter 2 Cabinet monitoring.</w:t>
      </w:r>
    </w:p>
    <w:p w14:paraId="4FC49871" w14:textId="77777777" w:rsidR="00510203" w:rsidRDefault="00510203" w:rsidP="00510203">
      <w:pPr>
        <w:spacing w:after="0"/>
        <w:rPr>
          <w:rFonts w:cs="Arial"/>
        </w:rPr>
      </w:pPr>
    </w:p>
    <w:p w14:paraId="4418F9D9" w14:textId="77777777" w:rsidR="00510203" w:rsidRDefault="00510203" w:rsidP="00510203">
      <w:pPr>
        <w:spacing w:after="0"/>
        <w:rPr>
          <w:rFonts w:cs="Arial"/>
        </w:rPr>
      </w:pPr>
      <w:r>
        <w:rPr>
          <w:rFonts w:cs="Arial"/>
        </w:rPr>
        <w:t xml:space="preserve">SEN and Disability continues to report an underspend position that has not changed significantly since Quarter 2. The variances are mainly due to staff vacancies and recovery of Direct Payments through clawback processes. </w:t>
      </w:r>
    </w:p>
    <w:p w14:paraId="0D35C8A9" w14:textId="77777777" w:rsidR="00510203" w:rsidRDefault="00510203" w:rsidP="00510203">
      <w:pPr>
        <w:spacing w:after="0"/>
        <w:rPr>
          <w:rFonts w:cs="Arial"/>
        </w:rPr>
      </w:pPr>
    </w:p>
    <w:p w14:paraId="635FB22A" w14:textId="77777777" w:rsidR="00510203" w:rsidRDefault="00510203" w:rsidP="00510203">
      <w:pPr>
        <w:spacing w:after="0"/>
        <w:rPr>
          <w:rFonts w:cs="Arial"/>
        </w:rPr>
      </w:pPr>
      <w:r w:rsidRPr="001A56D2">
        <w:rPr>
          <w:rFonts w:cs="Arial"/>
        </w:rPr>
        <w:t>Safeguarding, Inspection and Audit (SIA) is forecast to overspend by £0.</w:t>
      </w:r>
      <w:r>
        <w:rPr>
          <w:rFonts w:cs="Arial"/>
        </w:rPr>
        <w:t>442</w:t>
      </w:r>
      <w:r w:rsidRPr="001A56D2">
        <w:rPr>
          <w:rFonts w:cs="Arial"/>
        </w:rPr>
        <w:t>m in 2017/18, predominantly due to forecast staff overspends as a result of using ag</w:t>
      </w:r>
      <w:r>
        <w:rPr>
          <w:rFonts w:cs="Arial"/>
        </w:rPr>
        <w:t xml:space="preserve">ency staff to fill vacant posts which is not a significant variance compared to Quarter 2. </w:t>
      </w:r>
    </w:p>
    <w:p w14:paraId="6942ECFE" w14:textId="77777777" w:rsidR="00510203" w:rsidRDefault="00510203" w:rsidP="00510203">
      <w:pPr>
        <w:spacing w:after="0"/>
        <w:rPr>
          <w:rFonts w:cs="Arial"/>
        </w:rPr>
      </w:pPr>
    </w:p>
    <w:p w14:paraId="478AB027" w14:textId="77777777" w:rsidR="00510203" w:rsidRDefault="00510203" w:rsidP="00510203">
      <w:pPr>
        <w:spacing w:after="0"/>
        <w:rPr>
          <w:rFonts w:cs="Arial"/>
        </w:rPr>
      </w:pPr>
      <w:r w:rsidRPr="001A56D2">
        <w:rPr>
          <w:rFonts w:cs="Arial"/>
        </w:rPr>
        <w:t>Adoption, Fostering, Residential and Y</w:t>
      </w:r>
      <w:r>
        <w:rPr>
          <w:rFonts w:cs="Arial"/>
        </w:rPr>
        <w:t xml:space="preserve">outh </w:t>
      </w:r>
      <w:r w:rsidRPr="001A56D2">
        <w:rPr>
          <w:rFonts w:cs="Arial"/>
        </w:rPr>
        <w:t>O</w:t>
      </w:r>
      <w:r>
        <w:rPr>
          <w:rFonts w:cs="Arial"/>
        </w:rPr>
        <w:t xml:space="preserve">ffending </w:t>
      </w:r>
      <w:r w:rsidRPr="001A56D2">
        <w:rPr>
          <w:rFonts w:cs="Arial"/>
        </w:rPr>
        <w:t>T</w:t>
      </w:r>
      <w:r>
        <w:rPr>
          <w:rFonts w:cs="Arial"/>
        </w:rPr>
        <w:t>eam</w:t>
      </w:r>
      <w:r w:rsidRPr="001A56D2">
        <w:rPr>
          <w:rFonts w:cs="Arial"/>
        </w:rPr>
        <w:t xml:space="preserve"> is forecast to u</w:t>
      </w:r>
      <w:r>
        <w:rPr>
          <w:rFonts w:cs="Arial"/>
        </w:rPr>
        <w:t xml:space="preserve">nderspend by £1.613m in 2017/18 which has not changed significantly from forecasts at Quarter 2. The service are experiencing underspends across staffing, fostering allowances and in the residential in-house provision. </w:t>
      </w:r>
    </w:p>
    <w:p w14:paraId="2E94A6E1" w14:textId="77777777" w:rsidR="00510203" w:rsidRDefault="00510203" w:rsidP="00510203">
      <w:pPr>
        <w:spacing w:after="0"/>
        <w:rPr>
          <w:rFonts w:cs="Arial"/>
        </w:rPr>
      </w:pPr>
    </w:p>
    <w:p w14:paraId="17D2CFFF" w14:textId="7D2679D0" w:rsidR="00510203" w:rsidRDefault="00510203" w:rsidP="00510203">
      <w:pPr>
        <w:spacing w:after="0"/>
        <w:rPr>
          <w:rFonts w:cs="Arial"/>
        </w:rPr>
      </w:pPr>
      <w:r>
        <w:rPr>
          <w:rFonts w:cs="Arial"/>
        </w:rPr>
        <w:t xml:space="preserve">Children's Social Care continues to report an overspend position, with an increase of £0.514m </w:t>
      </w:r>
      <w:r w:rsidR="00942876">
        <w:rPr>
          <w:rFonts w:cs="Arial"/>
        </w:rPr>
        <w:t>at Quarter 3</w:t>
      </w:r>
      <w:r>
        <w:rPr>
          <w:rFonts w:cs="Arial"/>
        </w:rPr>
        <w:t>, resulting in a forecast overspend of £4.778m. The overspend is due to overspends on staffing (£1.935m), placement costs (net £0.743m), Special Guardianship Orders and Assistance to Families (£2.774m). There are some small underspends across areas such as staying put and leaving care allowances that offset these overspends.</w:t>
      </w:r>
    </w:p>
    <w:p w14:paraId="481C17A0" w14:textId="77777777" w:rsidR="00942876" w:rsidRDefault="00942876" w:rsidP="00510203">
      <w:pPr>
        <w:spacing w:after="0"/>
        <w:rPr>
          <w:rFonts w:cs="Arial"/>
        </w:rPr>
      </w:pPr>
    </w:p>
    <w:p w14:paraId="0D821D57" w14:textId="3C48A4D3" w:rsidR="00510203" w:rsidRDefault="00510203" w:rsidP="00510203">
      <w:pPr>
        <w:spacing w:after="0"/>
        <w:rPr>
          <w:rFonts w:cs="Arial"/>
        </w:rPr>
      </w:pPr>
      <w:r>
        <w:rPr>
          <w:rFonts w:cs="Arial"/>
        </w:rPr>
        <w:t>Children's Social Care forecast ou</w:t>
      </w:r>
      <w:r w:rsidR="00CF78BC">
        <w:rPr>
          <w:rFonts w:cs="Arial"/>
        </w:rPr>
        <w:t>tturn has deteriorated by £0.514</w:t>
      </w:r>
      <w:r>
        <w:rPr>
          <w:rFonts w:cs="Arial"/>
        </w:rPr>
        <w:t xml:space="preserve">m due to increased staffing pressures, Special Guardianship Orders and a newly reported overspend in </w:t>
      </w:r>
      <w:r>
        <w:rPr>
          <w:rFonts w:cs="Arial"/>
        </w:rPr>
        <w:lastRenderedPageBreak/>
        <w:t xml:space="preserve">supporting people following a review of the budget position, offsetting this is a small reduction in the agency fostering forecast. </w:t>
      </w:r>
    </w:p>
    <w:p w14:paraId="53AC52D1" w14:textId="77777777" w:rsidR="00510203" w:rsidRDefault="00510203" w:rsidP="00510203">
      <w:pPr>
        <w:spacing w:after="0"/>
        <w:rPr>
          <w:rFonts w:cs="Arial"/>
        </w:rPr>
      </w:pPr>
    </w:p>
    <w:p w14:paraId="14F20F51" w14:textId="509E138B" w:rsidR="00510203" w:rsidRDefault="00510203" w:rsidP="00510203">
      <w:pPr>
        <w:spacing w:after="0"/>
        <w:rPr>
          <w:rFonts w:cs="Arial"/>
        </w:rPr>
      </w:pPr>
      <w:r>
        <w:rPr>
          <w:rFonts w:cs="Arial"/>
        </w:rPr>
        <w:t xml:space="preserve">School Improvement is forecasting an </w:t>
      </w:r>
      <w:r w:rsidR="00664924">
        <w:rPr>
          <w:rFonts w:cs="Arial"/>
        </w:rPr>
        <w:t>u</w:t>
      </w:r>
      <w:r>
        <w:rPr>
          <w:rFonts w:cs="Arial"/>
        </w:rPr>
        <w:t xml:space="preserve">nderspend positon of £0.655m </w:t>
      </w:r>
      <w:r w:rsidRPr="009F00A1">
        <w:rPr>
          <w:rFonts w:cs="Arial"/>
        </w:rPr>
        <w:t>predominantly</w:t>
      </w:r>
      <w:r>
        <w:rPr>
          <w:rFonts w:cs="Arial"/>
        </w:rPr>
        <w:t xml:space="preserve"> as a result of staff vacancies. This has slightly reduced compared to Quarter 2 due to revised staffing forecasts.  </w:t>
      </w:r>
    </w:p>
    <w:p w14:paraId="254265C7" w14:textId="77777777" w:rsidR="00510203" w:rsidRDefault="00510203" w:rsidP="00510203">
      <w:pPr>
        <w:spacing w:after="0"/>
        <w:rPr>
          <w:rFonts w:cs="Arial"/>
        </w:rPr>
      </w:pPr>
    </w:p>
    <w:p w14:paraId="7F47447A" w14:textId="77777777" w:rsidR="00510203" w:rsidRDefault="00510203" w:rsidP="00510203">
      <w:pPr>
        <w:spacing w:after="0"/>
        <w:rPr>
          <w:rFonts w:cs="Arial"/>
        </w:rPr>
      </w:pPr>
      <w:r>
        <w:rPr>
          <w:rFonts w:cs="Arial"/>
        </w:rPr>
        <w:t>Learning and Skills Service is reporting a negative variance to budget of £0.931m, however this has improved by £0.288m compared to the forecast at Quarter 2. The negative position is due to the following:</w:t>
      </w:r>
    </w:p>
    <w:p w14:paraId="6C1AFD92" w14:textId="77777777" w:rsidR="00510203" w:rsidRDefault="00510203" w:rsidP="00510203">
      <w:pPr>
        <w:spacing w:after="0"/>
        <w:rPr>
          <w:rFonts w:cs="Arial"/>
        </w:rPr>
      </w:pPr>
    </w:p>
    <w:p w14:paraId="627EB09D" w14:textId="77777777" w:rsidR="00510203" w:rsidRDefault="00510203" w:rsidP="00510203">
      <w:pPr>
        <w:pStyle w:val="ListParagraph"/>
        <w:numPr>
          <w:ilvl w:val="0"/>
          <w:numId w:val="41"/>
        </w:numPr>
        <w:autoSpaceDE/>
        <w:autoSpaceDN/>
        <w:adjustRightInd/>
        <w:spacing w:after="0" w:line="259" w:lineRule="auto"/>
        <w:rPr>
          <w:rFonts w:cs="Arial"/>
        </w:rPr>
      </w:pPr>
      <w:r>
        <w:rPr>
          <w:rFonts w:cs="Arial"/>
        </w:rPr>
        <w:t xml:space="preserve">School Catering pressures due to difficulties in achieving a £2.000m additional income target and increases in food costs. </w:t>
      </w:r>
    </w:p>
    <w:p w14:paraId="314A6A80" w14:textId="77777777" w:rsidR="00510203" w:rsidRDefault="00510203" w:rsidP="00510203">
      <w:pPr>
        <w:pStyle w:val="ListParagraph"/>
        <w:numPr>
          <w:ilvl w:val="0"/>
          <w:numId w:val="41"/>
        </w:numPr>
        <w:autoSpaceDE/>
        <w:autoSpaceDN/>
        <w:adjustRightInd/>
        <w:spacing w:after="0" w:line="259" w:lineRule="auto"/>
        <w:rPr>
          <w:rFonts w:cs="Arial"/>
        </w:rPr>
      </w:pPr>
      <w:r w:rsidRPr="009F00A1">
        <w:rPr>
          <w:rFonts w:cs="Arial"/>
        </w:rPr>
        <w:t xml:space="preserve">Outdoor Education is forecast to overspend as a result of the closure of Whitehough.  Whilst costs across the service have reduced following the closure of the centre, the transfer of customers from Whitehough to other LCC outdoor education centres, which was assumed in the savings proposal, has not materialised and so the service is reviewing alternative actions to achieve the saving.  </w:t>
      </w:r>
    </w:p>
    <w:p w14:paraId="0EE486D2" w14:textId="77777777" w:rsidR="00510203" w:rsidRPr="009F00A1" w:rsidRDefault="00510203" w:rsidP="00510203">
      <w:pPr>
        <w:pStyle w:val="ListParagraph"/>
        <w:numPr>
          <w:ilvl w:val="0"/>
          <w:numId w:val="41"/>
        </w:numPr>
        <w:autoSpaceDE/>
        <w:autoSpaceDN/>
        <w:adjustRightInd/>
        <w:spacing w:after="0" w:line="259" w:lineRule="auto"/>
        <w:rPr>
          <w:rFonts w:cs="Arial"/>
        </w:rPr>
      </w:pPr>
      <w:r w:rsidRPr="009F00A1">
        <w:rPr>
          <w:rFonts w:cs="Arial"/>
        </w:rPr>
        <w:t xml:space="preserve">Learning Excellence is forecast to overspend largely due to a decrease in income through the decline of course bookings from schools as a result of the closure of a conferencing centre. The service is working towards mitigating against this by meeting demand through venues located by area and district.  </w:t>
      </w:r>
    </w:p>
    <w:p w14:paraId="7014E35A" w14:textId="77777777" w:rsidR="00510203" w:rsidRDefault="00510203" w:rsidP="00510203">
      <w:pPr>
        <w:spacing w:after="0"/>
        <w:rPr>
          <w:rFonts w:cs="Arial"/>
        </w:rPr>
      </w:pPr>
    </w:p>
    <w:p w14:paraId="6C62F552" w14:textId="77777777" w:rsidR="00510203" w:rsidRDefault="00510203" w:rsidP="00510203">
      <w:pPr>
        <w:pStyle w:val="ListParagraph"/>
        <w:spacing w:after="0"/>
        <w:rPr>
          <w:rFonts w:cs="Arial"/>
        </w:rPr>
      </w:pPr>
    </w:p>
    <w:p w14:paraId="2B6A2DEC" w14:textId="77777777" w:rsidR="00510203" w:rsidRDefault="00510203" w:rsidP="00510203">
      <w:pPr>
        <w:pStyle w:val="ListParagraph"/>
        <w:spacing w:after="0"/>
        <w:rPr>
          <w:rFonts w:cs="Arial"/>
        </w:rPr>
      </w:pPr>
    </w:p>
    <w:p w14:paraId="23707633" w14:textId="77777777" w:rsidR="00510203" w:rsidRDefault="00510203" w:rsidP="00510203">
      <w:pPr>
        <w:pStyle w:val="ListParagraph"/>
        <w:spacing w:after="0"/>
        <w:rPr>
          <w:rFonts w:cs="Arial"/>
        </w:rPr>
      </w:pPr>
    </w:p>
    <w:p w14:paraId="2C735699" w14:textId="77777777" w:rsidR="00510203" w:rsidRDefault="00510203" w:rsidP="00510203">
      <w:pPr>
        <w:pStyle w:val="ListParagraph"/>
        <w:spacing w:after="0"/>
        <w:rPr>
          <w:rFonts w:cs="Arial"/>
        </w:rPr>
      </w:pPr>
    </w:p>
    <w:p w14:paraId="5FCDFDC7" w14:textId="77777777" w:rsidR="00510203" w:rsidRDefault="00510203" w:rsidP="00510203">
      <w:pPr>
        <w:pStyle w:val="ListParagraph"/>
        <w:spacing w:after="0"/>
        <w:rPr>
          <w:rFonts w:cs="Arial"/>
        </w:rPr>
      </w:pPr>
    </w:p>
    <w:p w14:paraId="7C8D9F18" w14:textId="77777777" w:rsidR="00510203" w:rsidRDefault="00510203" w:rsidP="00510203">
      <w:pPr>
        <w:pStyle w:val="ListParagraph"/>
        <w:spacing w:after="0"/>
        <w:rPr>
          <w:rFonts w:cs="Arial"/>
        </w:rPr>
      </w:pPr>
    </w:p>
    <w:p w14:paraId="601D59D2" w14:textId="77777777" w:rsidR="00510203" w:rsidRDefault="00510203" w:rsidP="00510203">
      <w:pPr>
        <w:pStyle w:val="ListParagraph"/>
        <w:spacing w:after="0"/>
        <w:rPr>
          <w:rFonts w:cs="Arial"/>
        </w:rPr>
      </w:pPr>
    </w:p>
    <w:p w14:paraId="610BC21A" w14:textId="77777777" w:rsidR="00510203" w:rsidRDefault="00510203" w:rsidP="00510203">
      <w:pPr>
        <w:pStyle w:val="ListParagraph"/>
        <w:spacing w:after="0"/>
        <w:rPr>
          <w:rFonts w:cs="Arial"/>
        </w:rPr>
      </w:pPr>
    </w:p>
    <w:p w14:paraId="1B22401B" w14:textId="77777777" w:rsidR="00510203" w:rsidRDefault="00510203" w:rsidP="00510203">
      <w:pPr>
        <w:pStyle w:val="ListParagraph"/>
        <w:spacing w:after="0"/>
        <w:rPr>
          <w:rFonts w:cs="Arial"/>
        </w:rPr>
      </w:pPr>
    </w:p>
    <w:p w14:paraId="0C020B6D" w14:textId="77777777" w:rsidR="00510203" w:rsidRDefault="00510203" w:rsidP="00510203">
      <w:pPr>
        <w:pStyle w:val="ListParagraph"/>
        <w:spacing w:after="0"/>
        <w:rPr>
          <w:rFonts w:cs="Arial"/>
        </w:rPr>
      </w:pPr>
    </w:p>
    <w:p w14:paraId="457D103E" w14:textId="77777777" w:rsidR="00510203" w:rsidRDefault="00510203" w:rsidP="00510203">
      <w:pPr>
        <w:pStyle w:val="ListParagraph"/>
        <w:spacing w:after="0"/>
        <w:rPr>
          <w:rFonts w:cs="Arial"/>
        </w:rPr>
      </w:pPr>
    </w:p>
    <w:p w14:paraId="69E4E47A" w14:textId="77777777" w:rsidR="00510203" w:rsidRDefault="00510203" w:rsidP="00510203">
      <w:pPr>
        <w:pStyle w:val="ListParagraph"/>
        <w:spacing w:after="0"/>
        <w:rPr>
          <w:rFonts w:cs="Arial"/>
        </w:rPr>
      </w:pPr>
    </w:p>
    <w:p w14:paraId="0D1E00E1" w14:textId="77777777" w:rsidR="00510203" w:rsidRDefault="00510203" w:rsidP="00510203">
      <w:pPr>
        <w:pStyle w:val="ListParagraph"/>
        <w:spacing w:after="0"/>
        <w:rPr>
          <w:rFonts w:cs="Arial"/>
        </w:rPr>
      </w:pPr>
    </w:p>
    <w:p w14:paraId="53146212" w14:textId="77777777" w:rsidR="00510203" w:rsidRDefault="00510203" w:rsidP="00510203">
      <w:pPr>
        <w:pStyle w:val="ListParagraph"/>
        <w:spacing w:after="0"/>
        <w:rPr>
          <w:rFonts w:cs="Arial"/>
        </w:rPr>
      </w:pPr>
    </w:p>
    <w:p w14:paraId="50033E6E" w14:textId="77777777" w:rsidR="00510203" w:rsidRDefault="00510203" w:rsidP="00510203">
      <w:pPr>
        <w:pStyle w:val="ListParagraph"/>
        <w:spacing w:after="0"/>
        <w:rPr>
          <w:rFonts w:cs="Arial"/>
        </w:rPr>
      </w:pPr>
    </w:p>
    <w:p w14:paraId="277EDF66" w14:textId="77777777" w:rsidR="00510203" w:rsidRDefault="00510203" w:rsidP="00510203">
      <w:pPr>
        <w:pStyle w:val="ListParagraph"/>
        <w:spacing w:after="0"/>
        <w:rPr>
          <w:rFonts w:cs="Arial"/>
        </w:rPr>
      </w:pPr>
    </w:p>
    <w:p w14:paraId="494D12F0" w14:textId="77777777" w:rsidR="00510203" w:rsidRDefault="00510203" w:rsidP="00510203">
      <w:pPr>
        <w:pStyle w:val="ListParagraph"/>
        <w:spacing w:after="0"/>
        <w:rPr>
          <w:rFonts w:cs="Arial"/>
        </w:rPr>
      </w:pPr>
    </w:p>
    <w:p w14:paraId="2CDC5496" w14:textId="77777777" w:rsidR="00510203" w:rsidRDefault="00510203" w:rsidP="00510203">
      <w:pPr>
        <w:pStyle w:val="ListParagraph"/>
        <w:spacing w:after="0"/>
        <w:rPr>
          <w:rFonts w:cs="Arial"/>
        </w:rPr>
      </w:pPr>
    </w:p>
    <w:p w14:paraId="1BA5B857" w14:textId="77777777" w:rsidR="00510203" w:rsidRDefault="00510203" w:rsidP="00510203">
      <w:pPr>
        <w:pStyle w:val="ListParagraph"/>
        <w:spacing w:after="0"/>
        <w:rPr>
          <w:rFonts w:cs="Arial"/>
        </w:rPr>
      </w:pPr>
    </w:p>
    <w:p w14:paraId="3F9D9DC6" w14:textId="77777777" w:rsidR="00510203" w:rsidRDefault="00510203" w:rsidP="00510203">
      <w:pPr>
        <w:spacing w:after="0"/>
        <w:rPr>
          <w:rFonts w:cs="Arial"/>
        </w:rPr>
      </w:pPr>
    </w:p>
    <w:p w14:paraId="1CBA894D" w14:textId="77777777" w:rsidR="00510203" w:rsidRPr="005C6DB7" w:rsidRDefault="00510203" w:rsidP="00510203">
      <w:pPr>
        <w:spacing w:after="0"/>
        <w:rPr>
          <w:rFonts w:cs="Arial"/>
        </w:rPr>
      </w:pPr>
    </w:p>
    <w:p w14:paraId="0745BE11" w14:textId="77777777" w:rsidR="00D40856" w:rsidRDefault="00D40856" w:rsidP="00510203">
      <w:pPr>
        <w:spacing w:after="0"/>
        <w:rPr>
          <w:rFonts w:cs="Arial"/>
          <w:b/>
          <w:u w:val="single"/>
        </w:rPr>
      </w:pPr>
    </w:p>
    <w:p w14:paraId="19993AA4" w14:textId="77777777" w:rsidR="00D40856" w:rsidRDefault="00D40856" w:rsidP="00510203">
      <w:pPr>
        <w:spacing w:after="0"/>
        <w:rPr>
          <w:rFonts w:cs="Arial"/>
          <w:b/>
          <w:u w:val="single"/>
        </w:rPr>
      </w:pPr>
    </w:p>
    <w:p w14:paraId="266B5C5A" w14:textId="77777777" w:rsidR="00D40856" w:rsidRDefault="00D40856" w:rsidP="00510203">
      <w:pPr>
        <w:spacing w:after="0"/>
        <w:rPr>
          <w:rFonts w:cs="Arial"/>
          <w:b/>
          <w:u w:val="single"/>
        </w:rPr>
      </w:pPr>
    </w:p>
    <w:p w14:paraId="7FC2BA10" w14:textId="77777777" w:rsidR="00D40856" w:rsidRDefault="00D40856" w:rsidP="00510203">
      <w:pPr>
        <w:spacing w:after="0"/>
        <w:rPr>
          <w:rFonts w:cs="Arial"/>
          <w:b/>
          <w:u w:val="single"/>
        </w:rPr>
      </w:pPr>
    </w:p>
    <w:p w14:paraId="6C69020E" w14:textId="77777777" w:rsidR="00D40856" w:rsidRDefault="00D40856" w:rsidP="00510203">
      <w:pPr>
        <w:spacing w:after="0"/>
        <w:rPr>
          <w:rFonts w:cs="Arial"/>
          <w:b/>
          <w:u w:val="single"/>
        </w:rPr>
      </w:pPr>
    </w:p>
    <w:p w14:paraId="1380B1E0" w14:textId="77777777" w:rsidR="00D40856" w:rsidRDefault="00D40856" w:rsidP="00510203">
      <w:pPr>
        <w:spacing w:after="0"/>
        <w:rPr>
          <w:rFonts w:cs="Arial"/>
          <w:b/>
          <w:u w:val="single"/>
        </w:rPr>
      </w:pPr>
    </w:p>
    <w:p w14:paraId="4B34894F" w14:textId="77777777" w:rsidR="00D40856" w:rsidRDefault="00D40856" w:rsidP="00510203">
      <w:pPr>
        <w:spacing w:after="0"/>
        <w:rPr>
          <w:rFonts w:cs="Arial"/>
          <w:b/>
          <w:u w:val="single"/>
        </w:rPr>
      </w:pPr>
    </w:p>
    <w:p w14:paraId="3984789C" w14:textId="77777777" w:rsidR="00D40856" w:rsidRDefault="00D40856" w:rsidP="00510203">
      <w:pPr>
        <w:spacing w:after="0"/>
        <w:rPr>
          <w:rFonts w:cs="Arial"/>
          <w:b/>
          <w:u w:val="single"/>
        </w:rPr>
      </w:pPr>
    </w:p>
    <w:p w14:paraId="575FEDEC" w14:textId="68C1E75B" w:rsidR="00D40856" w:rsidRDefault="00D40856" w:rsidP="00D40856">
      <w:pPr>
        <w:spacing w:after="0"/>
        <w:rPr>
          <w:rFonts w:eastAsia="Times New Roman" w:cs="Arial"/>
          <w:b/>
          <w:lang w:eastAsia="en-GB"/>
        </w:rPr>
      </w:pPr>
      <w:r>
        <w:rPr>
          <w:rFonts w:eastAsia="Times New Roman" w:cs="Arial"/>
          <w:b/>
          <w:lang w:eastAsia="en-GB"/>
        </w:rPr>
        <w:t>3</w:t>
      </w:r>
      <w:r w:rsidRPr="00FB36C0">
        <w:rPr>
          <w:rFonts w:eastAsia="Times New Roman" w:cs="Arial"/>
          <w:b/>
          <w:lang w:eastAsia="en-GB"/>
        </w:rPr>
        <w:t>.</w:t>
      </w:r>
      <w:r>
        <w:rPr>
          <w:rFonts w:eastAsia="Times New Roman" w:cs="Arial"/>
          <w:b/>
          <w:lang w:eastAsia="en-GB"/>
        </w:rPr>
        <w:t>3</w:t>
      </w:r>
      <w:r w:rsidRPr="00FB36C0">
        <w:rPr>
          <w:rFonts w:eastAsia="Times New Roman" w:cs="Arial"/>
          <w:b/>
          <w:lang w:eastAsia="en-GB"/>
        </w:rPr>
        <w:tab/>
      </w:r>
      <w:r>
        <w:rPr>
          <w:rFonts w:eastAsia="Times New Roman" w:cs="Arial"/>
          <w:b/>
          <w:lang w:eastAsia="en-GB"/>
        </w:rPr>
        <w:t xml:space="preserve">Community Services </w:t>
      </w:r>
    </w:p>
    <w:p w14:paraId="0B9CE489" w14:textId="77777777" w:rsidR="00510203" w:rsidRDefault="00510203" w:rsidP="00510203">
      <w:pPr>
        <w:spacing w:after="0"/>
        <w:rPr>
          <w:rFonts w:cs="Arial"/>
          <w:b/>
          <w:u w:val="single"/>
        </w:rPr>
      </w:pPr>
    </w:p>
    <w:tbl>
      <w:tblPr>
        <w:tblW w:w="9587" w:type="dxa"/>
        <w:tblInd w:w="-147" w:type="dxa"/>
        <w:tblLook w:val="04A0" w:firstRow="1" w:lastRow="0" w:firstColumn="1" w:lastColumn="0" w:noHBand="0" w:noVBand="1"/>
      </w:tblPr>
      <w:tblGrid>
        <w:gridCol w:w="851"/>
        <w:gridCol w:w="2651"/>
        <w:gridCol w:w="1198"/>
        <w:gridCol w:w="1410"/>
        <w:gridCol w:w="1159"/>
        <w:gridCol w:w="1159"/>
        <w:gridCol w:w="1159"/>
      </w:tblGrid>
      <w:tr w:rsidR="00510203" w:rsidRPr="00673FE3" w14:paraId="2BA14E8F" w14:textId="77777777" w:rsidTr="00E118FC">
        <w:trPr>
          <w:trHeight w:val="1577"/>
        </w:trPr>
        <w:tc>
          <w:tcPr>
            <w:tcW w:w="851" w:type="dxa"/>
            <w:tcBorders>
              <w:top w:val="single" w:sz="4" w:space="0" w:color="auto"/>
              <w:left w:val="single" w:sz="4" w:space="0" w:color="auto"/>
              <w:bottom w:val="nil"/>
              <w:right w:val="single" w:sz="4" w:space="0" w:color="auto"/>
            </w:tcBorders>
            <w:shd w:val="clear" w:color="000000" w:fill="D9D9D9"/>
            <w:vAlign w:val="bottom"/>
            <w:hideMark/>
          </w:tcPr>
          <w:p w14:paraId="1CF80EA6" w14:textId="77777777" w:rsidR="00510203" w:rsidRPr="00673FE3" w:rsidRDefault="00510203" w:rsidP="00E118FC">
            <w:pPr>
              <w:spacing w:after="0"/>
              <w:jc w:val="center"/>
              <w:rPr>
                <w:rFonts w:eastAsia="Times New Roman" w:cs="Arial"/>
                <w:b/>
                <w:bCs/>
                <w:sz w:val="20"/>
                <w:szCs w:val="20"/>
                <w:lang w:eastAsia="en-GB"/>
              </w:rPr>
            </w:pPr>
            <w:r w:rsidRPr="00673FE3">
              <w:rPr>
                <w:rFonts w:eastAsia="Times New Roman" w:cs="Arial"/>
                <w:b/>
                <w:bCs/>
                <w:sz w:val="20"/>
                <w:szCs w:val="20"/>
                <w:lang w:eastAsia="en-GB"/>
              </w:rPr>
              <w:t>Ref</w:t>
            </w:r>
          </w:p>
        </w:tc>
        <w:tc>
          <w:tcPr>
            <w:tcW w:w="2651" w:type="dxa"/>
            <w:tcBorders>
              <w:top w:val="single" w:sz="4" w:space="0" w:color="auto"/>
              <w:left w:val="nil"/>
              <w:bottom w:val="nil"/>
              <w:right w:val="single" w:sz="4" w:space="0" w:color="auto"/>
            </w:tcBorders>
            <w:shd w:val="clear" w:color="000000" w:fill="D9D9D9"/>
            <w:vAlign w:val="bottom"/>
            <w:hideMark/>
          </w:tcPr>
          <w:p w14:paraId="7356B697" w14:textId="77777777" w:rsidR="00510203" w:rsidRPr="00673FE3" w:rsidRDefault="00510203" w:rsidP="00E118FC">
            <w:pPr>
              <w:spacing w:after="0"/>
              <w:jc w:val="center"/>
              <w:rPr>
                <w:rFonts w:eastAsia="Times New Roman" w:cs="Arial"/>
                <w:b/>
                <w:bCs/>
                <w:sz w:val="20"/>
                <w:szCs w:val="20"/>
                <w:lang w:eastAsia="en-GB"/>
              </w:rPr>
            </w:pPr>
            <w:r w:rsidRPr="00673FE3">
              <w:rPr>
                <w:rFonts w:eastAsia="Times New Roman" w:cs="Arial"/>
                <w:b/>
                <w:bCs/>
                <w:sz w:val="20"/>
                <w:szCs w:val="20"/>
                <w:lang w:eastAsia="en-GB"/>
              </w:rPr>
              <w:t>HEAD OF SERVICE</w:t>
            </w:r>
          </w:p>
        </w:tc>
        <w:tc>
          <w:tcPr>
            <w:tcW w:w="1198" w:type="dxa"/>
            <w:tcBorders>
              <w:top w:val="single" w:sz="4" w:space="0" w:color="auto"/>
              <w:left w:val="nil"/>
              <w:bottom w:val="nil"/>
              <w:right w:val="single" w:sz="4" w:space="0" w:color="auto"/>
            </w:tcBorders>
            <w:shd w:val="clear" w:color="000000" w:fill="D9D9D9"/>
            <w:vAlign w:val="bottom"/>
            <w:hideMark/>
          </w:tcPr>
          <w:p w14:paraId="60A7B936" w14:textId="77777777" w:rsidR="00510203" w:rsidRPr="00673FE3" w:rsidRDefault="00510203" w:rsidP="00E118FC">
            <w:pPr>
              <w:spacing w:after="0"/>
              <w:jc w:val="center"/>
              <w:rPr>
                <w:rFonts w:eastAsia="Times New Roman" w:cs="Arial"/>
                <w:b/>
                <w:bCs/>
                <w:sz w:val="20"/>
                <w:szCs w:val="20"/>
                <w:lang w:eastAsia="en-GB"/>
              </w:rPr>
            </w:pPr>
            <w:r w:rsidRPr="00673FE3">
              <w:rPr>
                <w:rFonts w:eastAsia="Times New Roman" w:cs="Arial"/>
                <w:b/>
                <w:bCs/>
                <w:sz w:val="20"/>
                <w:szCs w:val="20"/>
                <w:lang w:eastAsia="en-GB"/>
              </w:rPr>
              <w:t>Approved Budget</w:t>
            </w:r>
          </w:p>
        </w:tc>
        <w:tc>
          <w:tcPr>
            <w:tcW w:w="1410" w:type="dxa"/>
            <w:tcBorders>
              <w:top w:val="single" w:sz="4" w:space="0" w:color="auto"/>
              <w:left w:val="nil"/>
              <w:bottom w:val="nil"/>
              <w:right w:val="single" w:sz="4" w:space="0" w:color="auto"/>
            </w:tcBorders>
            <w:shd w:val="clear" w:color="000000" w:fill="D9D9D9"/>
            <w:vAlign w:val="bottom"/>
            <w:hideMark/>
          </w:tcPr>
          <w:p w14:paraId="1D793E49" w14:textId="77777777" w:rsidR="00510203" w:rsidRPr="00673FE3" w:rsidRDefault="00510203" w:rsidP="00E118FC">
            <w:pPr>
              <w:spacing w:after="0"/>
              <w:jc w:val="center"/>
              <w:rPr>
                <w:rFonts w:eastAsia="Times New Roman" w:cs="Arial"/>
                <w:b/>
                <w:bCs/>
                <w:sz w:val="20"/>
                <w:szCs w:val="20"/>
                <w:lang w:eastAsia="en-GB"/>
              </w:rPr>
            </w:pPr>
            <w:r w:rsidRPr="00673FE3">
              <w:rPr>
                <w:rFonts w:eastAsia="Times New Roman" w:cs="Arial"/>
                <w:b/>
                <w:bCs/>
                <w:sz w:val="20"/>
                <w:szCs w:val="20"/>
                <w:lang w:eastAsia="en-GB"/>
              </w:rPr>
              <w:t>Current Cabinet Forecast Qtr 3</w:t>
            </w:r>
          </w:p>
        </w:tc>
        <w:tc>
          <w:tcPr>
            <w:tcW w:w="1159" w:type="dxa"/>
            <w:tcBorders>
              <w:top w:val="single" w:sz="4" w:space="0" w:color="auto"/>
              <w:left w:val="nil"/>
              <w:bottom w:val="nil"/>
              <w:right w:val="single" w:sz="4" w:space="0" w:color="auto"/>
            </w:tcBorders>
            <w:shd w:val="clear" w:color="000000" w:fill="D9D9D9"/>
            <w:vAlign w:val="bottom"/>
            <w:hideMark/>
          </w:tcPr>
          <w:p w14:paraId="4F573F0D" w14:textId="77777777" w:rsidR="00510203" w:rsidRPr="00673FE3" w:rsidRDefault="00510203" w:rsidP="00E118FC">
            <w:pPr>
              <w:spacing w:after="0"/>
              <w:jc w:val="center"/>
              <w:rPr>
                <w:rFonts w:eastAsia="Times New Roman" w:cs="Arial"/>
                <w:b/>
                <w:bCs/>
                <w:sz w:val="20"/>
                <w:szCs w:val="20"/>
                <w:lang w:eastAsia="en-GB"/>
              </w:rPr>
            </w:pPr>
            <w:r w:rsidRPr="00673FE3">
              <w:rPr>
                <w:rFonts w:eastAsia="Times New Roman" w:cs="Arial"/>
                <w:b/>
                <w:bCs/>
                <w:sz w:val="20"/>
                <w:szCs w:val="20"/>
                <w:lang w:eastAsia="en-GB"/>
              </w:rPr>
              <w:t>Current Cabinet Forecast Variance</w:t>
            </w:r>
          </w:p>
        </w:tc>
        <w:tc>
          <w:tcPr>
            <w:tcW w:w="1159" w:type="dxa"/>
            <w:tcBorders>
              <w:top w:val="single" w:sz="4" w:space="0" w:color="auto"/>
              <w:left w:val="nil"/>
              <w:bottom w:val="nil"/>
              <w:right w:val="single" w:sz="4" w:space="0" w:color="auto"/>
            </w:tcBorders>
            <w:shd w:val="clear" w:color="000000" w:fill="D9D9D9"/>
            <w:vAlign w:val="bottom"/>
            <w:hideMark/>
          </w:tcPr>
          <w:p w14:paraId="611AA8F7" w14:textId="77777777" w:rsidR="00510203" w:rsidRPr="00673FE3" w:rsidRDefault="00510203" w:rsidP="00E118FC">
            <w:pPr>
              <w:spacing w:after="0"/>
              <w:jc w:val="center"/>
              <w:rPr>
                <w:rFonts w:eastAsia="Times New Roman" w:cs="Arial"/>
                <w:b/>
                <w:bCs/>
                <w:sz w:val="20"/>
                <w:szCs w:val="20"/>
                <w:lang w:eastAsia="en-GB"/>
              </w:rPr>
            </w:pPr>
            <w:r w:rsidRPr="00673FE3">
              <w:rPr>
                <w:rFonts w:eastAsia="Times New Roman" w:cs="Arial"/>
                <w:b/>
                <w:bCs/>
                <w:sz w:val="20"/>
                <w:szCs w:val="20"/>
                <w:lang w:eastAsia="en-GB"/>
              </w:rPr>
              <w:t>Previous Period Forecast Variance Qtr 2</w:t>
            </w:r>
          </w:p>
        </w:tc>
        <w:tc>
          <w:tcPr>
            <w:tcW w:w="1159" w:type="dxa"/>
            <w:tcBorders>
              <w:top w:val="single" w:sz="4" w:space="0" w:color="auto"/>
              <w:left w:val="nil"/>
              <w:bottom w:val="nil"/>
              <w:right w:val="single" w:sz="4" w:space="0" w:color="auto"/>
            </w:tcBorders>
            <w:shd w:val="clear" w:color="000000" w:fill="D9D9D9"/>
            <w:vAlign w:val="bottom"/>
            <w:hideMark/>
          </w:tcPr>
          <w:p w14:paraId="56D1045D" w14:textId="77777777" w:rsidR="00510203" w:rsidRPr="00673FE3" w:rsidRDefault="00510203" w:rsidP="00E118FC">
            <w:pPr>
              <w:spacing w:after="0"/>
              <w:jc w:val="center"/>
              <w:rPr>
                <w:rFonts w:eastAsia="Times New Roman" w:cs="Arial"/>
                <w:b/>
                <w:bCs/>
                <w:sz w:val="20"/>
                <w:szCs w:val="20"/>
                <w:lang w:eastAsia="en-GB"/>
              </w:rPr>
            </w:pPr>
            <w:r w:rsidRPr="00673FE3">
              <w:rPr>
                <w:rFonts w:eastAsia="Times New Roman" w:cs="Arial"/>
                <w:b/>
                <w:bCs/>
                <w:sz w:val="20"/>
                <w:szCs w:val="20"/>
                <w:lang w:eastAsia="en-GB"/>
              </w:rPr>
              <w:t>Current Qtr 3 Forecast Variance</w:t>
            </w:r>
          </w:p>
        </w:tc>
      </w:tr>
      <w:tr w:rsidR="00510203" w:rsidRPr="00673FE3" w14:paraId="3914645C" w14:textId="77777777" w:rsidTr="00E118FC">
        <w:trPr>
          <w:trHeight w:val="554"/>
        </w:trPr>
        <w:tc>
          <w:tcPr>
            <w:tcW w:w="851" w:type="dxa"/>
            <w:tcBorders>
              <w:top w:val="nil"/>
              <w:left w:val="single" w:sz="4" w:space="0" w:color="auto"/>
              <w:bottom w:val="single" w:sz="4" w:space="0" w:color="auto"/>
              <w:right w:val="single" w:sz="4" w:space="0" w:color="auto"/>
            </w:tcBorders>
            <w:shd w:val="clear" w:color="000000" w:fill="D9D9D9"/>
            <w:vAlign w:val="bottom"/>
            <w:hideMark/>
          </w:tcPr>
          <w:p w14:paraId="664F9791" w14:textId="77777777" w:rsidR="00510203" w:rsidRPr="00673FE3" w:rsidRDefault="00510203" w:rsidP="00E118FC">
            <w:pPr>
              <w:spacing w:after="0"/>
              <w:jc w:val="center"/>
              <w:rPr>
                <w:rFonts w:eastAsia="Times New Roman" w:cs="Arial"/>
                <w:b/>
                <w:bCs/>
                <w:sz w:val="20"/>
                <w:szCs w:val="20"/>
                <w:lang w:eastAsia="en-GB"/>
              </w:rPr>
            </w:pPr>
            <w:r w:rsidRPr="00673FE3">
              <w:rPr>
                <w:rFonts w:eastAsia="Times New Roman" w:cs="Arial"/>
                <w:b/>
                <w:bCs/>
                <w:sz w:val="20"/>
                <w:szCs w:val="20"/>
                <w:lang w:eastAsia="en-GB"/>
              </w:rPr>
              <w:t> </w:t>
            </w:r>
          </w:p>
        </w:tc>
        <w:tc>
          <w:tcPr>
            <w:tcW w:w="2651" w:type="dxa"/>
            <w:tcBorders>
              <w:top w:val="nil"/>
              <w:left w:val="nil"/>
              <w:bottom w:val="single" w:sz="4" w:space="0" w:color="auto"/>
              <w:right w:val="single" w:sz="4" w:space="0" w:color="auto"/>
            </w:tcBorders>
            <w:shd w:val="clear" w:color="000000" w:fill="D9D9D9"/>
            <w:vAlign w:val="bottom"/>
            <w:hideMark/>
          </w:tcPr>
          <w:p w14:paraId="16768ACB" w14:textId="77777777" w:rsidR="00510203" w:rsidRPr="00673FE3" w:rsidRDefault="00510203" w:rsidP="00E118FC">
            <w:pPr>
              <w:spacing w:after="0"/>
              <w:jc w:val="center"/>
              <w:rPr>
                <w:rFonts w:eastAsia="Times New Roman" w:cs="Arial"/>
                <w:b/>
                <w:bCs/>
                <w:sz w:val="20"/>
                <w:szCs w:val="20"/>
                <w:lang w:eastAsia="en-GB"/>
              </w:rPr>
            </w:pPr>
            <w:r w:rsidRPr="00673FE3">
              <w:rPr>
                <w:rFonts w:eastAsia="Times New Roman" w:cs="Arial"/>
                <w:b/>
                <w:bCs/>
                <w:sz w:val="20"/>
                <w:szCs w:val="20"/>
                <w:lang w:eastAsia="en-GB"/>
              </w:rPr>
              <w:t> </w:t>
            </w:r>
          </w:p>
        </w:tc>
        <w:tc>
          <w:tcPr>
            <w:tcW w:w="1198" w:type="dxa"/>
            <w:tcBorders>
              <w:top w:val="nil"/>
              <w:left w:val="nil"/>
              <w:bottom w:val="single" w:sz="4" w:space="0" w:color="auto"/>
              <w:right w:val="single" w:sz="4" w:space="0" w:color="auto"/>
            </w:tcBorders>
            <w:shd w:val="clear" w:color="000000" w:fill="D9D9D9"/>
            <w:vAlign w:val="bottom"/>
            <w:hideMark/>
          </w:tcPr>
          <w:p w14:paraId="5CB73D8D" w14:textId="77777777" w:rsidR="00510203" w:rsidRPr="00673FE3" w:rsidRDefault="00510203" w:rsidP="00E118FC">
            <w:pPr>
              <w:spacing w:after="0"/>
              <w:jc w:val="center"/>
              <w:rPr>
                <w:rFonts w:eastAsia="Times New Roman" w:cs="Arial"/>
                <w:b/>
                <w:bCs/>
                <w:sz w:val="20"/>
                <w:szCs w:val="20"/>
                <w:lang w:eastAsia="en-GB"/>
              </w:rPr>
            </w:pPr>
            <w:r w:rsidRPr="00673FE3">
              <w:rPr>
                <w:rFonts w:eastAsia="Times New Roman" w:cs="Arial"/>
                <w:b/>
                <w:bCs/>
                <w:sz w:val="20"/>
                <w:szCs w:val="20"/>
                <w:lang w:eastAsia="en-GB"/>
              </w:rPr>
              <w:t>£m</w:t>
            </w:r>
          </w:p>
        </w:tc>
        <w:tc>
          <w:tcPr>
            <w:tcW w:w="1410" w:type="dxa"/>
            <w:tcBorders>
              <w:top w:val="nil"/>
              <w:left w:val="nil"/>
              <w:bottom w:val="single" w:sz="4" w:space="0" w:color="auto"/>
              <w:right w:val="single" w:sz="4" w:space="0" w:color="auto"/>
            </w:tcBorders>
            <w:shd w:val="clear" w:color="000000" w:fill="D9D9D9"/>
            <w:vAlign w:val="bottom"/>
            <w:hideMark/>
          </w:tcPr>
          <w:p w14:paraId="7CC11FB6" w14:textId="77777777" w:rsidR="00510203" w:rsidRPr="00673FE3" w:rsidRDefault="00510203" w:rsidP="00E118FC">
            <w:pPr>
              <w:spacing w:after="0"/>
              <w:jc w:val="center"/>
              <w:rPr>
                <w:rFonts w:eastAsia="Times New Roman" w:cs="Arial"/>
                <w:b/>
                <w:bCs/>
                <w:sz w:val="20"/>
                <w:szCs w:val="20"/>
                <w:lang w:eastAsia="en-GB"/>
              </w:rPr>
            </w:pPr>
            <w:r w:rsidRPr="00673FE3">
              <w:rPr>
                <w:rFonts w:eastAsia="Times New Roman" w:cs="Arial"/>
                <w:b/>
                <w:bCs/>
                <w:sz w:val="20"/>
                <w:szCs w:val="20"/>
                <w:lang w:eastAsia="en-GB"/>
              </w:rPr>
              <w:t>£m</w:t>
            </w:r>
          </w:p>
        </w:tc>
        <w:tc>
          <w:tcPr>
            <w:tcW w:w="1159" w:type="dxa"/>
            <w:tcBorders>
              <w:top w:val="nil"/>
              <w:left w:val="nil"/>
              <w:bottom w:val="single" w:sz="4" w:space="0" w:color="auto"/>
              <w:right w:val="single" w:sz="4" w:space="0" w:color="auto"/>
            </w:tcBorders>
            <w:shd w:val="clear" w:color="000000" w:fill="D9D9D9"/>
            <w:vAlign w:val="bottom"/>
            <w:hideMark/>
          </w:tcPr>
          <w:p w14:paraId="17EA92FD" w14:textId="77777777" w:rsidR="00510203" w:rsidRPr="00673FE3" w:rsidRDefault="00510203" w:rsidP="00E118FC">
            <w:pPr>
              <w:spacing w:after="0"/>
              <w:jc w:val="center"/>
              <w:rPr>
                <w:rFonts w:eastAsia="Times New Roman" w:cs="Arial"/>
                <w:b/>
                <w:bCs/>
                <w:sz w:val="20"/>
                <w:szCs w:val="20"/>
                <w:lang w:eastAsia="en-GB"/>
              </w:rPr>
            </w:pPr>
            <w:r w:rsidRPr="00673FE3">
              <w:rPr>
                <w:rFonts w:eastAsia="Times New Roman" w:cs="Arial"/>
                <w:b/>
                <w:bCs/>
                <w:sz w:val="20"/>
                <w:szCs w:val="20"/>
                <w:lang w:eastAsia="en-GB"/>
              </w:rPr>
              <w:t>£m</w:t>
            </w:r>
          </w:p>
        </w:tc>
        <w:tc>
          <w:tcPr>
            <w:tcW w:w="1159" w:type="dxa"/>
            <w:tcBorders>
              <w:top w:val="nil"/>
              <w:left w:val="nil"/>
              <w:bottom w:val="single" w:sz="4" w:space="0" w:color="auto"/>
              <w:right w:val="single" w:sz="4" w:space="0" w:color="auto"/>
            </w:tcBorders>
            <w:shd w:val="clear" w:color="000000" w:fill="D9D9D9"/>
            <w:vAlign w:val="bottom"/>
            <w:hideMark/>
          </w:tcPr>
          <w:p w14:paraId="1D15AFC8" w14:textId="77777777" w:rsidR="00510203" w:rsidRPr="00673FE3" w:rsidRDefault="00510203" w:rsidP="00E118FC">
            <w:pPr>
              <w:spacing w:after="0"/>
              <w:jc w:val="center"/>
              <w:rPr>
                <w:rFonts w:eastAsia="Times New Roman" w:cs="Arial"/>
                <w:b/>
                <w:bCs/>
                <w:sz w:val="20"/>
                <w:szCs w:val="20"/>
                <w:lang w:eastAsia="en-GB"/>
              </w:rPr>
            </w:pPr>
            <w:r w:rsidRPr="00673FE3">
              <w:rPr>
                <w:rFonts w:eastAsia="Times New Roman" w:cs="Arial"/>
                <w:b/>
                <w:bCs/>
                <w:sz w:val="20"/>
                <w:szCs w:val="20"/>
                <w:lang w:eastAsia="en-GB"/>
              </w:rPr>
              <w:t>£m</w:t>
            </w:r>
          </w:p>
        </w:tc>
        <w:tc>
          <w:tcPr>
            <w:tcW w:w="1159" w:type="dxa"/>
            <w:tcBorders>
              <w:top w:val="nil"/>
              <w:left w:val="nil"/>
              <w:bottom w:val="single" w:sz="4" w:space="0" w:color="auto"/>
              <w:right w:val="single" w:sz="4" w:space="0" w:color="auto"/>
            </w:tcBorders>
            <w:shd w:val="clear" w:color="000000" w:fill="D9D9D9"/>
            <w:vAlign w:val="bottom"/>
            <w:hideMark/>
          </w:tcPr>
          <w:p w14:paraId="64054426" w14:textId="77777777" w:rsidR="00510203" w:rsidRPr="00673FE3" w:rsidRDefault="00510203" w:rsidP="00E118FC">
            <w:pPr>
              <w:spacing w:after="0"/>
              <w:jc w:val="center"/>
              <w:rPr>
                <w:rFonts w:eastAsia="Times New Roman" w:cs="Arial"/>
                <w:b/>
                <w:bCs/>
                <w:sz w:val="20"/>
                <w:szCs w:val="20"/>
                <w:lang w:eastAsia="en-GB"/>
              </w:rPr>
            </w:pPr>
            <w:r w:rsidRPr="00673FE3">
              <w:rPr>
                <w:rFonts w:eastAsia="Times New Roman" w:cs="Arial"/>
                <w:b/>
                <w:bCs/>
                <w:sz w:val="20"/>
                <w:szCs w:val="20"/>
                <w:lang w:eastAsia="en-GB"/>
              </w:rPr>
              <w:t>%</w:t>
            </w:r>
          </w:p>
        </w:tc>
      </w:tr>
      <w:tr w:rsidR="00510203" w:rsidRPr="00673FE3" w14:paraId="26A6DC22" w14:textId="77777777" w:rsidTr="00E118FC">
        <w:trPr>
          <w:trHeight w:val="554"/>
        </w:trPr>
        <w:tc>
          <w:tcPr>
            <w:tcW w:w="851" w:type="dxa"/>
            <w:tcBorders>
              <w:top w:val="nil"/>
              <w:left w:val="single" w:sz="4" w:space="0" w:color="auto"/>
              <w:bottom w:val="single" w:sz="4" w:space="0" w:color="auto"/>
              <w:right w:val="single" w:sz="4" w:space="0" w:color="auto"/>
            </w:tcBorders>
            <w:shd w:val="clear" w:color="000000" w:fill="FFFFFF"/>
            <w:noWrap/>
            <w:hideMark/>
          </w:tcPr>
          <w:p w14:paraId="5E5AEF3E" w14:textId="77777777" w:rsidR="00510203" w:rsidRPr="00673FE3" w:rsidRDefault="00510203" w:rsidP="00E118FC">
            <w:pPr>
              <w:spacing w:after="0"/>
              <w:jc w:val="center"/>
              <w:rPr>
                <w:rFonts w:eastAsia="Times New Roman" w:cs="Arial"/>
                <w:b/>
                <w:bCs/>
                <w:sz w:val="20"/>
                <w:szCs w:val="20"/>
                <w:lang w:eastAsia="en-GB"/>
              </w:rPr>
            </w:pPr>
            <w:r w:rsidRPr="00673FE3">
              <w:rPr>
                <w:rFonts w:eastAsia="Times New Roman" w:cs="Arial"/>
                <w:b/>
                <w:bCs/>
                <w:sz w:val="20"/>
                <w:szCs w:val="20"/>
                <w:lang w:eastAsia="en-GB"/>
              </w:rPr>
              <w:t>3.3.1</w:t>
            </w:r>
          </w:p>
        </w:tc>
        <w:tc>
          <w:tcPr>
            <w:tcW w:w="2651" w:type="dxa"/>
            <w:tcBorders>
              <w:top w:val="nil"/>
              <w:left w:val="nil"/>
              <w:bottom w:val="single" w:sz="4" w:space="0" w:color="auto"/>
              <w:right w:val="single" w:sz="4" w:space="0" w:color="auto"/>
            </w:tcBorders>
            <w:shd w:val="clear" w:color="000000" w:fill="FFFFFF"/>
            <w:hideMark/>
          </w:tcPr>
          <w:p w14:paraId="619904D9" w14:textId="77777777" w:rsidR="00510203" w:rsidRPr="00673FE3" w:rsidRDefault="00510203" w:rsidP="00D40856">
            <w:pPr>
              <w:spacing w:after="0"/>
              <w:jc w:val="left"/>
              <w:rPr>
                <w:rFonts w:eastAsia="Times New Roman" w:cs="Arial"/>
                <w:sz w:val="20"/>
                <w:szCs w:val="20"/>
                <w:lang w:eastAsia="en-GB"/>
              </w:rPr>
            </w:pPr>
            <w:r w:rsidRPr="00673FE3">
              <w:rPr>
                <w:rFonts w:eastAsia="Times New Roman" w:cs="Arial"/>
                <w:sz w:val="20"/>
                <w:szCs w:val="20"/>
                <w:lang w:eastAsia="en-GB"/>
              </w:rPr>
              <w:t>CUSTOMER ACCESS</w:t>
            </w:r>
          </w:p>
        </w:tc>
        <w:tc>
          <w:tcPr>
            <w:tcW w:w="1198" w:type="dxa"/>
            <w:tcBorders>
              <w:top w:val="nil"/>
              <w:left w:val="nil"/>
              <w:bottom w:val="single" w:sz="4" w:space="0" w:color="auto"/>
              <w:right w:val="single" w:sz="4" w:space="0" w:color="auto"/>
            </w:tcBorders>
            <w:shd w:val="clear" w:color="000000" w:fill="FFFFFF"/>
            <w:hideMark/>
          </w:tcPr>
          <w:p w14:paraId="465BE52E" w14:textId="77777777" w:rsidR="00510203" w:rsidRPr="00673FE3" w:rsidRDefault="00510203" w:rsidP="00E118FC">
            <w:pPr>
              <w:spacing w:after="0"/>
              <w:jc w:val="right"/>
              <w:rPr>
                <w:rFonts w:eastAsia="Times New Roman" w:cs="Arial"/>
                <w:sz w:val="20"/>
                <w:szCs w:val="20"/>
                <w:lang w:eastAsia="en-GB"/>
              </w:rPr>
            </w:pPr>
            <w:r w:rsidRPr="00673FE3">
              <w:rPr>
                <w:rFonts w:eastAsia="Times New Roman" w:cs="Arial"/>
                <w:sz w:val="20"/>
                <w:szCs w:val="20"/>
                <w:lang w:eastAsia="en-GB"/>
              </w:rPr>
              <w:t xml:space="preserve">3.781 </w:t>
            </w:r>
          </w:p>
        </w:tc>
        <w:tc>
          <w:tcPr>
            <w:tcW w:w="1410" w:type="dxa"/>
            <w:tcBorders>
              <w:top w:val="nil"/>
              <w:left w:val="nil"/>
              <w:bottom w:val="single" w:sz="4" w:space="0" w:color="auto"/>
              <w:right w:val="single" w:sz="4" w:space="0" w:color="auto"/>
            </w:tcBorders>
            <w:shd w:val="clear" w:color="000000" w:fill="FFFFFF"/>
            <w:hideMark/>
          </w:tcPr>
          <w:p w14:paraId="4E73E236" w14:textId="07709A10" w:rsidR="00510203" w:rsidRPr="00673FE3" w:rsidRDefault="00510203" w:rsidP="007C37A7">
            <w:pPr>
              <w:spacing w:after="0"/>
              <w:jc w:val="right"/>
              <w:rPr>
                <w:rFonts w:eastAsia="Times New Roman" w:cs="Arial"/>
                <w:sz w:val="20"/>
                <w:szCs w:val="20"/>
                <w:lang w:eastAsia="en-GB"/>
              </w:rPr>
            </w:pPr>
            <w:r w:rsidRPr="00673FE3">
              <w:rPr>
                <w:rFonts w:eastAsia="Times New Roman" w:cs="Arial"/>
                <w:sz w:val="20"/>
                <w:szCs w:val="20"/>
                <w:lang w:eastAsia="en-GB"/>
              </w:rPr>
              <w:t>3.</w:t>
            </w:r>
            <w:r w:rsidR="007C37A7">
              <w:rPr>
                <w:rFonts w:eastAsia="Times New Roman" w:cs="Arial"/>
                <w:sz w:val="20"/>
                <w:szCs w:val="20"/>
                <w:lang w:eastAsia="en-GB"/>
              </w:rPr>
              <w:t>243</w:t>
            </w:r>
            <w:r w:rsidRPr="00673FE3">
              <w:rPr>
                <w:rFonts w:eastAsia="Times New Roman" w:cs="Arial"/>
                <w:sz w:val="20"/>
                <w:szCs w:val="20"/>
                <w:lang w:eastAsia="en-GB"/>
              </w:rPr>
              <w:t xml:space="preserve"> </w:t>
            </w:r>
          </w:p>
        </w:tc>
        <w:tc>
          <w:tcPr>
            <w:tcW w:w="1159" w:type="dxa"/>
            <w:tcBorders>
              <w:top w:val="nil"/>
              <w:left w:val="nil"/>
              <w:bottom w:val="single" w:sz="4" w:space="0" w:color="auto"/>
              <w:right w:val="single" w:sz="4" w:space="0" w:color="auto"/>
            </w:tcBorders>
            <w:shd w:val="clear" w:color="000000" w:fill="FFFFFF"/>
            <w:hideMark/>
          </w:tcPr>
          <w:p w14:paraId="4EBA1CEA" w14:textId="15644B5E" w:rsidR="00510203" w:rsidRPr="00673FE3" w:rsidRDefault="00510203" w:rsidP="007C37A7">
            <w:pPr>
              <w:spacing w:after="0"/>
              <w:jc w:val="right"/>
              <w:rPr>
                <w:rFonts w:eastAsia="Times New Roman" w:cs="Arial"/>
                <w:sz w:val="20"/>
                <w:szCs w:val="20"/>
                <w:lang w:eastAsia="en-GB"/>
              </w:rPr>
            </w:pPr>
            <w:r w:rsidRPr="00673FE3">
              <w:rPr>
                <w:rFonts w:eastAsia="Times New Roman" w:cs="Arial"/>
                <w:sz w:val="20"/>
                <w:szCs w:val="20"/>
                <w:lang w:eastAsia="en-GB"/>
              </w:rPr>
              <w:t>-0.</w:t>
            </w:r>
            <w:r w:rsidR="007C37A7">
              <w:rPr>
                <w:rFonts w:eastAsia="Times New Roman" w:cs="Arial"/>
                <w:sz w:val="20"/>
                <w:szCs w:val="20"/>
                <w:lang w:eastAsia="en-GB"/>
              </w:rPr>
              <w:t>538</w:t>
            </w:r>
            <w:r w:rsidRPr="00673FE3">
              <w:rPr>
                <w:rFonts w:eastAsia="Times New Roman" w:cs="Arial"/>
                <w:sz w:val="20"/>
                <w:szCs w:val="20"/>
                <w:lang w:eastAsia="en-GB"/>
              </w:rPr>
              <w:t xml:space="preserve"> </w:t>
            </w:r>
          </w:p>
        </w:tc>
        <w:tc>
          <w:tcPr>
            <w:tcW w:w="1159" w:type="dxa"/>
            <w:tcBorders>
              <w:top w:val="nil"/>
              <w:left w:val="nil"/>
              <w:bottom w:val="single" w:sz="4" w:space="0" w:color="auto"/>
              <w:right w:val="single" w:sz="4" w:space="0" w:color="auto"/>
            </w:tcBorders>
            <w:shd w:val="clear" w:color="000000" w:fill="FFFFFF"/>
            <w:hideMark/>
          </w:tcPr>
          <w:p w14:paraId="54F41B0B" w14:textId="77777777" w:rsidR="00510203" w:rsidRPr="00673FE3" w:rsidRDefault="00510203" w:rsidP="00E118FC">
            <w:pPr>
              <w:spacing w:after="0"/>
              <w:jc w:val="right"/>
              <w:rPr>
                <w:rFonts w:eastAsia="Times New Roman" w:cs="Arial"/>
                <w:sz w:val="20"/>
                <w:szCs w:val="20"/>
                <w:lang w:eastAsia="en-GB"/>
              </w:rPr>
            </w:pPr>
            <w:r w:rsidRPr="00673FE3">
              <w:rPr>
                <w:rFonts w:eastAsia="Times New Roman" w:cs="Arial"/>
                <w:sz w:val="20"/>
                <w:szCs w:val="20"/>
                <w:lang w:eastAsia="en-GB"/>
              </w:rPr>
              <w:t xml:space="preserve">-0.228 </w:t>
            </w:r>
          </w:p>
        </w:tc>
        <w:tc>
          <w:tcPr>
            <w:tcW w:w="1159" w:type="dxa"/>
            <w:tcBorders>
              <w:top w:val="nil"/>
              <w:left w:val="nil"/>
              <w:bottom w:val="single" w:sz="4" w:space="0" w:color="auto"/>
              <w:right w:val="single" w:sz="4" w:space="0" w:color="auto"/>
            </w:tcBorders>
            <w:shd w:val="clear" w:color="000000" w:fill="FFFFFF"/>
            <w:hideMark/>
          </w:tcPr>
          <w:p w14:paraId="33BE4D43" w14:textId="11740B58" w:rsidR="00510203" w:rsidRPr="00673FE3" w:rsidRDefault="00B64738" w:rsidP="00E118FC">
            <w:pPr>
              <w:spacing w:after="0"/>
              <w:jc w:val="right"/>
              <w:rPr>
                <w:rFonts w:eastAsia="Times New Roman" w:cs="Arial"/>
                <w:sz w:val="20"/>
                <w:szCs w:val="20"/>
                <w:lang w:eastAsia="en-GB"/>
              </w:rPr>
            </w:pPr>
            <w:r>
              <w:rPr>
                <w:rFonts w:eastAsia="Times New Roman" w:cs="Arial"/>
                <w:sz w:val="20"/>
                <w:szCs w:val="20"/>
                <w:lang w:eastAsia="en-GB"/>
              </w:rPr>
              <w:t>-14.23</w:t>
            </w:r>
            <w:r w:rsidR="00510203" w:rsidRPr="00673FE3">
              <w:rPr>
                <w:rFonts w:eastAsia="Times New Roman" w:cs="Arial"/>
                <w:sz w:val="20"/>
                <w:szCs w:val="20"/>
                <w:lang w:eastAsia="en-GB"/>
              </w:rPr>
              <w:t>%</w:t>
            </w:r>
          </w:p>
        </w:tc>
      </w:tr>
      <w:tr w:rsidR="00510203" w:rsidRPr="00673FE3" w14:paraId="2B3BE966" w14:textId="77777777" w:rsidTr="00E118FC">
        <w:trPr>
          <w:trHeight w:val="554"/>
        </w:trPr>
        <w:tc>
          <w:tcPr>
            <w:tcW w:w="851" w:type="dxa"/>
            <w:tcBorders>
              <w:top w:val="nil"/>
              <w:left w:val="single" w:sz="4" w:space="0" w:color="auto"/>
              <w:bottom w:val="single" w:sz="4" w:space="0" w:color="auto"/>
              <w:right w:val="single" w:sz="4" w:space="0" w:color="auto"/>
            </w:tcBorders>
            <w:shd w:val="clear" w:color="000000" w:fill="FFFFFF"/>
            <w:noWrap/>
            <w:hideMark/>
          </w:tcPr>
          <w:p w14:paraId="6A57C131" w14:textId="77777777" w:rsidR="00510203" w:rsidRPr="00673FE3" w:rsidRDefault="00510203" w:rsidP="00E118FC">
            <w:pPr>
              <w:spacing w:after="0"/>
              <w:jc w:val="center"/>
              <w:rPr>
                <w:rFonts w:eastAsia="Times New Roman" w:cs="Arial"/>
                <w:b/>
                <w:bCs/>
                <w:sz w:val="20"/>
                <w:szCs w:val="20"/>
                <w:lang w:eastAsia="en-GB"/>
              </w:rPr>
            </w:pPr>
            <w:r w:rsidRPr="00673FE3">
              <w:rPr>
                <w:rFonts w:eastAsia="Times New Roman" w:cs="Arial"/>
                <w:b/>
                <w:bCs/>
                <w:sz w:val="20"/>
                <w:szCs w:val="20"/>
                <w:lang w:eastAsia="en-GB"/>
              </w:rPr>
              <w:t>3.3.2</w:t>
            </w:r>
          </w:p>
        </w:tc>
        <w:tc>
          <w:tcPr>
            <w:tcW w:w="2651" w:type="dxa"/>
            <w:tcBorders>
              <w:top w:val="nil"/>
              <w:left w:val="nil"/>
              <w:bottom w:val="single" w:sz="4" w:space="0" w:color="auto"/>
              <w:right w:val="single" w:sz="4" w:space="0" w:color="auto"/>
            </w:tcBorders>
            <w:shd w:val="clear" w:color="000000" w:fill="FFFFFF"/>
            <w:hideMark/>
          </w:tcPr>
          <w:p w14:paraId="439B6186" w14:textId="77777777" w:rsidR="00510203" w:rsidRPr="00673FE3" w:rsidRDefault="00510203" w:rsidP="00D40856">
            <w:pPr>
              <w:spacing w:after="0"/>
              <w:jc w:val="left"/>
              <w:rPr>
                <w:rFonts w:eastAsia="Times New Roman" w:cs="Arial"/>
                <w:sz w:val="20"/>
                <w:szCs w:val="20"/>
                <w:lang w:eastAsia="en-GB"/>
              </w:rPr>
            </w:pPr>
            <w:r w:rsidRPr="00673FE3">
              <w:rPr>
                <w:rFonts w:eastAsia="Times New Roman" w:cs="Arial"/>
                <w:sz w:val="20"/>
                <w:szCs w:val="20"/>
                <w:lang w:eastAsia="en-GB"/>
              </w:rPr>
              <w:t>HIGHWAYS</w:t>
            </w:r>
          </w:p>
        </w:tc>
        <w:tc>
          <w:tcPr>
            <w:tcW w:w="1198" w:type="dxa"/>
            <w:tcBorders>
              <w:top w:val="nil"/>
              <w:left w:val="nil"/>
              <w:bottom w:val="single" w:sz="4" w:space="0" w:color="auto"/>
              <w:right w:val="single" w:sz="4" w:space="0" w:color="auto"/>
            </w:tcBorders>
            <w:shd w:val="clear" w:color="000000" w:fill="FFFFFF"/>
            <w:hideMark/>
          </w:tcPr>
          <w:p w14:paraId="3AF91AA9" w14:textId="77777777" w:rsidR="00510203" w:rsidRPr="00673FE3" w:rsidRDefault="00510203" w:rsidP="00E118FC">
            <w:pPr>
              <w:spacing w:after="0"/>
              <w:jc w:val="right"/>
              <w:rPr>
                <w:rFonts w:eastAsia="Times New Roman" w:cs="Arial"/>
                <w:sz w:val="20"/>
                <w:szCs w:val="20"/>
                <w:lang w:eastAsia="en-GB"/>
              </w:rPr>
            </w:pPr>
            <w:r w:rsidRPr="00673FE3">
              <w:rPr>
                <w:rFonts w:eastAsia="Times New Roman" w:cs="Arial"/>
                <w:sz w:val="20"/>
                <w:szCs w:val="20"/>
                <w:lang w:eastAsia="en-GB"/>
              </w:rPr>
              <w:t xml:space="preserve">18.054 </w:t>
            </w:r>
          </w:p>
        </w:tc>
        <w:tc>
          <w:tcPr>
            <w:tcW w:w="1410" w:type="dxa"/>
            <w:tcBorders>
              <w:top w:val="nil"/>
              <w:left w:val="nil"/>
              <w:bottom w:val="single" w:sz="4" w:space="0" w:color="auto"/>
              <w:right w:val="single" w:sz="4" w:space="0" w:color="auto"/>
            </w:tcBorders>
            <w:shd w:val="clear" w:color="000000" w:fill="FFFFFF"/>
            <w:hideMark/>
          </w:tcPr>
          <w:p w14:paraId="01809C17" w14:textId="77777777" w:rsidR="00510203" w:rsidRPr="00673FE3" w:rsidRDefault="00510203" w:rsidP="00E118FC">
            <w:pPr>
              <w:spacing w:after="0"/>
              <w:jc w:val="right"/>
              <w:rPr>
                <w:rFonts w:eastAsia="Times New Roman" w:cs="Arial"/>
                <w:sz w:val="20"/>
                <w:szCs w:val="20"/>
                <w:lang w:eastAsia="en-GB"/>
              </w:rPr>
            </w:pPr>
            <w:r w:rsidRPr="00673FE3">
              <w:rPr>
                <w:rFonts w:eastAsia="Times New Roman" w:cs="Arial"/>
                <w:sz w:val="20"/>
                <w:szCs w:val="20"/>
                <w:lang w:eastAsia="en-GB"/>
              </w:rPr>
              <w:t xml:space="preserve">11.138 </w:t>
            </w:r>
          </w:p>
        </w:tc>
        <w:tc>
          <w:tcPr>
            <w:tcW w:w="1159" w:type="dxa"/>
            <w:tcBorders>
              <w:top w:val="nil"/>
              <w:left w:val="nil"/>
              <w:bottom w:val="single" w:sz="4" w:space="0" w:color="auto"/>
              <w:right w:val="single" w:sz="4" w:space="0" w:color="auto"/>
            </w:tcBorders>
            <w:shd w:val="clear" w:color="000000" w:fill="FFFFFF"/>
            <w:hideMark/>
          </w:tcPr>
          <w:p w14:paraId="3DF0D7E7" w14:textId="77777777" w:rsidR="00510203" w:rsidRPr="00673FE3" w:rsidRDefault="00510203" w:rsidP="00E118FC">
            <w:pPr>
              <w:spacing w:after="0"/>
              <w:jc w:val="right"/>
              <w:rPr>
                <w:rFonts w:eastAsia="Times New Roman" w:cs="Arial"/>
                <w:sz w:val="20"/>
                <w:szCs w:val="20"/>
                <w:lang w:eastAsia="en-GB"/>
              </w:rPr>
            </w:pPr>
            <w:r w:rsidRPr="00673FE3">
              <w:rPr>
                <w:rFonts w:eastAsia="Times New Roman" w:cs="Arial"/>
                <w:sz w:val="20"/>
                <w:szCs w:val="20"/>
                <w:lang w:eastAsia="en-GB"/>
              </w:rPr>
              <w:t xml:space="preserve">-6.916 </w:t>
            </w:r>
          </w:p>
        </w:tc>
        <w:tc>
          <w:tcPr>
            <w:tcW w:w="1159" w:type="dxa"/>
            <w:tcBorders>
              <w:top w:val="nil"/>
              <w:left w:val="nil"/>
              <w:bottom w:val="single" w:sz="4" w:space="0" w:color="auto"/>
              <w:right w:val="single" w:sz="4" w:space="0" w:color="auto"/>
            </w:tcBorders>
            <w:shd w:val="clear" w:color="000000" w:fill="FFFFFF"/>
            <w:hideMark/>
          </w:tcPr>
          <w:p w14:paraId="5B977F93" w14:textId="77777777" w:rsidR="00510203" w:rsidRPr="00673FE3" w:rsidRDefault="00510203" w:rsidP="00E118FC">
            <w:pPr>
              <w:spacing w:after="0"/>
              <w:jc w:val="right"/>
              <w:rPr>
                <w:rFonts w:eastAsia="Times New Roman" w:cs="Arial"/>
                <w:sz w:val="20"/>
                <w:szCs w:val="20"/>
                <w:lang w:eastAsia="en-GB"/>
              </w:rPr>
            </w:pPr>
            <w:r w:rsidRPr="00673FE3">
              <w:rPr>
                <w:rFonts w:eastAsia="Times New Roman" w:cs="Arial"/>
                <w:sz w:val="20"/>
                <w:szCs w:val="20"/>
                <w:lang w:eastAsia="en-GB"/>
              </w:rPr>
              <w:t xml:space="preserve">-2.977 </w:t>
            </w:r>
          </w:p>
        </w:tc>
        <w:tc>
          <w:tcPr>
            <w:tcW w:w="1159" w:type="dxa"/>
            <w:tcBorders>
              <w:top w:val="nil"/>
              <w:left w:val="nil"/>
              <w:bottom w:val="single" w:sz="4" w:space="0" w:color="auto"/>
              <w:right w:val="single" w:sz="4" w:space="0" w:color="auto"/>
            </w:tcBorders>
            <w:shd w:val="clear" w:color="000000" w:fill="FFFFFF"/>
            <w:hideMark/>
          </w:tcPr>
          <w:p w14:paraId="5E061AB8" w14:textId="77777777" w:rsidR="00510203" w:rsidRPr="00673FE3" w:rsidRDefault="00510203" w:rsidP="00E118FC">
            <w:pPr>
              <w:spacing w:after="0"/>
              <w:jc w:val="right"/>
              <w:rPr>
                <w:rFonts w:eastAsia="Times New Roman" w:cs="Arial"/>
                <w:sz w:val="20"/>
                <w:szCs w:val="20"/>
                <w:lang w:eastAsia="en-GB"/>
              </w:rPr>
            </w:pPr>
            <w:r w:rsidRPr="00673FE3">
              <w:rPr>
                <w:rFonts w:eastAsia="Times New Roman" w:cs="Arial"/>
                <w:sz w:val="20"/>
                <w:szCs w:val="20"/>
                <w:lang w:eastAsia="en-GB"/>
              </w:rPr>
              <w:t>-38.31%</w:t>
            </w:r>
          </w:p>
        </w:tc>
      </w:tr>
      <w:tr w:rsidR="00510203" w:rsidRPr="00673FE3" w14:paraId="5A50D5A5" w14:textId="77777777" w:rsidTr="00E118FC">
        <w:trPr>
          <w:trHeight w:val="554"/>
        </w:trPr>
        <w:tc>
          <w:tcPr>
            <w:tcW w:w="851" w:type="dxa"/>
            <w:tcBorders>
              <w:top w:val="nil"/>
              <w:left w:val="single" w:sz="4" w:space="0" w:color="auto"/>
              <w:bottom w:val="single" w:sz="4" w:space="0" w:color="auto"/>
              <w:right w:val="single" w:sz="4" w:space="0" w:color="auto"/>
            </w:tcBorders>
            <w:shd w:val="clear" w:color="000000" w:fill="FFFFFF"/>
            <w:noWrap/>
            <w:hideMark/>
          </w:tcPr>
          <w:p w14:paraId="3475BEC1" w14:textId="77777777" w:rsidR="00510203" w:rsidRPr="00673FE3" w:rsidRDefault="00510203" w:rsidP="00E118FC">
            <w:pPr>
              <w:spacing w:after="0"/>
              <w:jc w:val="center"/>
              <w:rPr>
                <w:rFonts w:eastAsia="Times New Roman" w:cs="Arial"/>
                <w:b/>
                <w:bCs/>
                <w:sz w:val="20"/>
                <w:szCs w:val="20"/>
                <w:lang w:eastAsia="en-GB"/>
              </w:rPr>
            </w:pPr>
            <w:r w:rsidRPr="00673FE3">
              <w:rPr>
                <w:rFonts w:eastAsia="Times New Roman" w:cs="Arial"/>
                <w:b/>
                <w:bCs/>
                <w:sz w:val="20"/>
                <w:szCs w:val="20"/>
                <w:lang w:eastAsia="en-GB"/>
              </w:rPr>
              <w:t>3.3.3</w:t>
            </w:r>
          </w:p>
        </w:tc>
        <w:tc>
          <w:tcPr>
            <w:tcW w:w="2651" w:type="dxa"/>
            <w:tcBorders>
              <w:top w:val="nil"/>
              <w:left w:val="nil"/>
              <w:bottom w:val="single" w:sz="4" w:space="0" w:color="auto"/>
              <w:right w:val="single" w:sz="4" w:space="0" w:color="auto"/>
            </w:tcBorders>
            <w:shd w:val="clear" w:color="000000" w:fill="FFFFFF"/>
            <w:hideMark/>
          </w:tcPr>
          <w:p w14:paraId="2423BDA5" w14:textId="77777777" w:rsidR="00510203" w:rsidRPr="00673FE3" w:rsidRDefault="00510203" w:rsidP="00D40856">
            <w:pPr>
              <w:spacing w:after="0"/>
              <w:jc w:val="left"/>
              <w:rPr>
                <w:rFonts w:eastAsia="Times New Roman" w:cs="Arial"/>
                <w:sz w:val="20"/>
                <w:szCs w:val="20"/>
                <w:lang w:eastAsia="en-GB"/>
              </w:rPr>
            </w:pPr>
            <w:r w:rsidRPr="00673FE3">
              <w:rPr>
                <w:rFonts w:eastAsia="Times New Roman" w:cs="Arial"/>
                <w:sz w:val="20"/>
                <w:szCs w:val="20"/>
                <w:lang w:eastAsia="en-GB"/>
              </w:rPr>
              <w:t>LIBRARIES  MUSEUMS  CULTURE &amp; REGISTRARS</w:t>
            </w:r>
          </w:p>
        </w:tc>
        <w:tc>
          <w:tcPr>
            <w:tcW w:w="1198" w:type="dxa"/>
            <w:tcBorders>
              <w:top w:val="nil"/>
              <w:left w:val="nil"/>
              <w:bottom w:val="single" w:sz="4" w:space="0" w:color="auto"/>
              <w:right w:val="single" w:sz="4" w:space="0" w:color="auto"/>
            </w:tcBorders>
            <w:shd w:val="clear" w:color="000000" w:fill="FFFFFF"/>
            <w:hideMark/>
          </w:tcPr>
          <w:p w14:paraId="0A2F1A04" w14:textId="77777777" w:rsidR="00510203" w:rsidRPr="00673FE3" w:rsidRDefault="00510203" w:rsidP="00E118FC">
            <w:pPr>
              <w:spacing w:after="0"/>
              <w:jc w:val="right"/>
              <w:rPr>
                <w:rFonts w:eastAsia="Times New Roman" w:cs="Arial"/>
                <w:sz w:val="20"/>
                <w:szCs w:val="20"/>
                <w:lang w:eastAsia="en-GB"/>
              </w:rPr>
            </w:pPr>
            <w:r w:rsidRPr="00673FE3">
              <w:rPr>
                <w:rFonts w:eastAsia="Times New Roman" w:cs="Arial"/>
                <w:sz w:val="20"/>
                <w:szCs w:val="20"/>
                <w:lang w:eastAsia="en-GB"/>
              </w:rPr>
              <w:t xml:space="preserve">5.979 </w:t>
            </w:r>
          </w:p>
        </w:tc>
        <w:tc>
          <w:tcPr>
            <w:tcW w:w="1410" w:type="dxa"/>
            <w:tcBorders>
              <w:top w:val="nil"/>
              <w:left w:val="nil"/>
              <w:bottom w:val="single" w:sz="4" w:space="0" w:color="auto"/>
              <w:right w:val="single" w:sz="4" w:space="0" w:color="auto"/>
            </w:tcBorders>
            <w:shd w:val="clear" w:color="000000" w:fill="FFFFFF"/>
            <w:hideMark/>
          </w:tcPr>
          <w:p w14:paraId="4C05D256" w14:textId="77777777" w:rsidR="00510203" w:rsidRPr="00673FE3" w:rsidRDefault="00510203" w:rsidP="00E118FC">
            <w:pPr>
              <w:spacing w:after="0"/>
              <w:jc w:val="right"/>
              <w:rPr>
                <w:rFonts w:eastAsia="Times New Roman" w:cs="Arial"/>
                <w:sz w:val="20"/>
                <w:szCs w:val="20"/>
                <w:lang w:eastAsia="en-GB"/>
              </w:rPr>
            </w:pPr>
            <w:r w:rsidRPr="00673FE3">
              <w:rPr>
                <w:rFonts w:eastAsia="Times New Roman" w:cs="Arial"/>
                <w:sz w:val="20"/>
                <w:szCs w:val="20"/>
                <w:lang w:eastAsia="en-GB"/>
              </w:rPr>
              <w:t xml:space="preserve">8.115 </w:t>
            </w:r>
          </w:p>
        </w:tc>
        <w:tc>
          <w:tcPr>
            <w:tcW w:w="1159" w:type="dxa"/>
            <w:tcBorders>
              <w:top w:val="nil"/>
              <w:left w:val="nil"/>
              <w:bottom w:val="single" w:sz="4" w:space="0" w:color="auto"/>
              <w:right w:val="single" w:sz="4" w:space="0" w:color="auto"/>
            </w:tcBorders>
            <w:shd w:val="clear" w:color="000000" w:fill="FFFFFF"/>
            <w:hideMark/>
          </w:tcPr>
          <w:p w14:paraId="166300A4" w14:textId="77777777" w:rsidR="00510203" w:rsidRPr="00673FE3" w:rsidRDefault="00510203" w:rsidP="00E118FC">
            <w:pPr>
              <w:spacing w:after="0"/>
              <w:jc w:val="right"/>
              <w:rPr>
                <w:rFonts w:eastAsia="Times New Roman" w:cs="Arial"/>
                <w:sz w:val="20"/>
                <w:szCs w:val="20"/>
                <w:lang w:eastAsia="en-GB"/>
              </w:rPr>
            </w:pPr>
            <w:r w:rsidRPr="00673FE3">
              <w:rPr>
                <w:rFonts w:eastAsia="Times New Roman" w:cs="Arial"/>
                <w:sz w:val="20"/>
                <w:szCs w:val="20"/>
                <w:lang w:eastAsia="en-GB"/>
              </w:rPr>
              <w:t xml:space="preserve">2.136 </w:t>
            </w:r>
          </w:p>
        </w:tc>
        <w:tc>
          <w:tcPr>
            <w:tcW w:w="1159" w:type="dxa"/>
            <w:tcBorders>
              <w:top w:val="nil"/>
              <w:left w:val="nil"/>
              <w:bottom w:val="single" w:sz="4" w:space="0" w:color="auto"/>
              <w:right w:val="single" w:sz="4" w:space="0" w:color="auto"/>
            </w:tcBorders>
            <w:shd w:val="clear" w:color="000000" w:fill="FFFFFF"/>
            <w:hideMark/>
          </w:tcPr>
          <w:p w14:paraId="6F1C4D6C" w14:textId="77777777" w:rsidR="00510203" w:rsidRPr="00673FE3" w:rsidRDefault="00510203" w:rsidP="00E118FC">
            <w:pPr>
              <w:spacing w:after="0"/>
              <w:jc w:val="right"/>
              <w:rPr>
                <w:rFonts w:eastAsia="Times New Roman" w:cs="Arial"/>
                <w:sz w:val="20"/>
                <w:szCs w:val="20"/>
                <w:lang w:eastAsia="en-GB"/>
              </w:rPr>
            </w:pPr>
            <w:r w:rsidRPr="00673FE3">
              <w:rPr>
                <w:rFonts w:eastAsia="Times New Roman" w:cs="Arial"/>
                <w:sz w:val="20"/>
                <w:szCs w:val="20"/>
                <w:lang w:eastAsia="en-GB"/>
              </w:rPr>
              <w:t xml:space="preserve">2.543 </w:t>
            </w:r>
          </w:p>
        </w:tc>
        <w:tc>
          <w:tcPr>
            <w:tcW w:w="1159" w:type="dxa"/>
            <w:tcBorders>
              <w:top w:val="nil"/>
              <w:left w:val="nil"/>
              <w:bottom w:val="single" w:sz="4" w:space="0" w:color="auto"/>
              <w:right w:val="single" w:sz="4" w:space="0" w:color="auto"/>
            </w:tcBorders>
            <w:shd w:val="clear" w:color="000000" w:fill="FFFFFF"/>
            <w:hideMark/>
          </w:tcPr>
          <w:p w14:paraId="2BD30AC4" w14:textId="77777777" w:rsidR="00510203" w:rsidRPr="00673FE3" w:rsidRDefault="00510203" w:rsidP="00E118FC">
            <w:pPr>
              <w:spacing w:after="0"/>
              <w:jc w:val="right"/>
              <w:rPr>
                <w:rFonts w:eastAsia="Times New Roman" w:cs="Arial"/>
                <w:sz w:val="20"/>
                <w:szCs w:val="20"/>
                <w:lang w:eastAsia="en-GB"/>
              </w:rPr>
            </w:pPr>
            <w:r w:rsidRPr="00673FE3">
              <w:rPr>
                <w:rFonts w:eastAsia="Times New Roman" w:cs="Arial"/>
                <w:sz w:val="20"/>
                <w:szCs w:val="20"/>
                <w:lang w:eastAsia="en-GB"/>
              </w:rPr>
              <w:t>35.73%</w:t>
            </w:r>
          </w:p>
        </w:tc>
      </w:tr>
      <w:tr w:rsidR="00510203" w:rsidRPr="00673FE3" w14:paraId="71F500AD" w14:textId="77777777" w:rsidTr="00E118FC">
        <w:trPr>
          <w:trHeight w:val="554"/>
        </w:trPr>
        <w:tc>
          <w:tcPr>
            <w:tcW w:w="851" w:type="dxa"/>
            <w:tcBorders>
              <w:top w:val="nil"/>
              <w:left w:val="single" w:sz="4" w:space="0" w:color="auto"/>
              <w:bottom w:val="single" w:sz="4" w:space="0" w:color="auto"/>
              <w:right w:val="single" w:sz="4" w:space="0" w:color="auto"/>
            </w:tcBorders>
            <w:shd w:val="clear" w:color="000000" w:fill="FFFFFF"/>
            <w:noWrap/>
            <w:hideMark/>
          </w:tcPr>
          <w:p w14:paraId="6A210FFA" w14:textId="77777777" w:rsidR="00510203" w:rsidRPr="00673FE3" w:rsidRDefault="00510203" w:rsidP="00E118FC">
            <w:pPr>
              <w:spacing w:after="0"/>
              <w:jc w:val="center"/>
              <w:rPr>
                <w:rFonts w:eastAsia="Times New Roman" w:cs="Arial"/>
                <w:b/>
                <w:bCs/>
                <w:sz w:val="20"/>
                <w:szCs w:val="20"/>
                <w:lang w:eastAsia="en-GB"/>
              </w:rPr>
            </w:pPr>
            <w:r w:rsidRPr="00673FE3">
              <w:rPr>
                <w:rFonts w:eastAsia="Times New Roman" w:cs="Arial"/>
                <w:b/>
                <w:bCs/>
                <w:sz w:val="20"/>
                <w:szCs w:val="20"/>
                <w:lang w:eastAsia="en-GB"/>
              </w:rPr>
              <w:t>3.3.4</w:t>
            </w:r>
          </w:p>
        </w:tc>
        <w:tc>
          <w:tcPr>
            <w:tcW w:w="2651" w:type="dxa"/>
            <w:tcBorders>
              <w:top w:val="nil"/>
              <w:left w:val="nil"/>
              <w:bottom w:val="single" w:sz="4" w:space="0" w:color="auto"/>
              <w:right w:val="single" w:sz="4" w:space="0" w:color="auto"/>
            </w:tcBorders>
            <w:shd w:val="clear" w:color="000000" w:fill="FFFFFF"/>
            <w:hideMark/>
          </w:tcPr>
          <w:p w14:paraId="116EDF63" w14:textId="77777777" w:rsidR="00510203" w:rsidRPr="00673FE3" w:rsidRDefault="00510203" w:rsidP="00D40856">
            <w:pPr>
              <w:spacing w:after="0"/>
              <w:jc w:val="left"/>
              <w:rPr>
                <w:rFonts w:eastAsia="Times New Roman" w:cs="Arial"/>
                <w:sz w:val="20"/>
                <w:szCs w:val="20"/>
                <w:lang w:eastAsia="en-GB"/>
              </w:rPr>
            </w:pPr>
            <w:r w:rsidRPr="00673FE3">
              <w:rPr>
                <w:rFonts w:eastAsia="Times New Roman" w:cs="Arial"/>
                <w:sz w:val="20"/>
                <w:szCs w:val="20"/>
                <w:lang w:eastAsia="en-GB"/>
              </w:rPr>
              <w:t>PUBLIC &amp; INTEGRATED TRANSPORT</w:t>
            </w:r>
          </w:p>
        </w:tc>
        <w:tc>
          <w:tcPr>
            <w:tcW w:w="1198" w:type="dxa"/>
            <w:tcBorders>
              <w:top w:val="nil"/>
              <w:left w:val="nil"/>
              <w:bottom w:val="single" w:sz="4" w:space="0" w:color="auto"/>
              <w:right w:val="single" w:sz="4" w:space="0" w:color="auto"/>
            </w:tcBorders>
            <w:shd w:val="clear" w:color="000000" w:fill="FFFFFF"/>
            <w:hideMark/>
          </w:tcPr>
          <w:p w14:paraId="657C8C37" w14:textId="77777777" w:rsidR="00510203" w:rsidRPr="00673FE3" w:rsidRDefault="00510203" w:rsidP="00E118FC">
            <w:pPr>
              <w:spacing w:after="0"/>
              <w:jc w:val="right"/>
              <w:rPr>
                <w:rFonts w:eastAsia="Times New Roman" w:cs="Arial"/>
                <w:sz w:val="20"/>
                <w:szCs w:val="20"/>
                <w:lang w:eastAsia="en-GB"/>
              </w:rPr>
            </w:pPr>
            <w:r w:rsidRPr="00673FE3">
              <w:rPr>
                <w:rFonts w:eastAsia="Times New Roman" w:cs="Arial"/>
                <w:sz w:val="20"/>
                <w:szCs w:val="20"/>
                <w:lang w:eastAsia="en-GB"/>
              </w:rPr>
              <w:t xml:space="preserve">40.926 </w:t>
            </w:r>
          </w:p>
        </w:tc>
        <w:tc>
          <w:tcPr>
            <w:tcW w:w="1410" w:type="dxa"/>
            <w:tcBorders>
              <w:top w:val="nil"/>
              <w:left w:val="nil"/>
              <w:bottom w:val="single" w:sz="4" w:space="0" w:color="auto"/>
              <w:right w:val="single" w:sz="4" w:space="0" w:color="auto"/>
            </w:tcBorders>
            <w:shd w:val="clear" w:color="000000" w:fill="FFFFFF"/>
            <w:hideMark/>
          </w:tcPr>
          <w:p w14:paraId="761BFD1C" w14:textId="77777777" w:rsidR="00510203" w:rsidRPr="00673FE3" w:rsidRDefault="00510203" w:rsidP="00E118FC">
            <w:pPr>
              <w:spacing w:after="0"/>
              <w:jc w:val="right"/>
              <w:rPr>
                <w:rFonts w:eastAsia="Times New Roman" w:cs="Arial"/>
                <w:sz w:val="20"/>
                <w:szCs w:val="20"/>
                <w:lang w:eastAsia="en-GB"/>
              </w:rPr>
            </w:pPr>
            <w:r w:rsidRPr="00673FE3">
              <w:rPr>
                <w:rFonts w:eastAsia="Times New Roman" w:cs="Arial"/>
                <w:sz w:val="20"/>
                <w:szCs w:val="20"/>
                <w:lang w:eastAsia="en-GB"/>
              </w:rPr>
              <w:t xml:space="preserve">43.171 </w:t>
            </w:r>
          </w:p>
        </w:tc>
        <w:tc>
          <w:tcPr>
            <w:tcW w:w="1159" w:type="dxa"/>
            <w:tcBorders>
              <w:top w:val="nil"/>
              <w:left w:val="nil"/>
              <w:bottom w:val="single" w:sz="4" w:space="0" w:color="auto"/>
              <w:right w:val="single" w:sz="4" w:space="0" w:color="auto"/>
            </w:tcBorders>
            <w:shd w:val="clear" w:color="000000" w:fill="FFFFFF"/>
            <w:hideMark/>
          </w:tcPr>
          <w:p w14:paraId="2ACA00ED" w14:textId="77777777" w:rsidR="00510203" w:rsidRPr="00673FE3" w:rsidRDefault="00510203" w:rsidP="00E118FC">
            <w:pPr>
              <w:spacing w:after="0"/>
              <w:jc w:val="right"/>
              <w:rPr>
                <w:rFonts w:eastAsia="Times New Roman" w:cs="Arial"/>
                <w:sz w:val="20"/>
                <w:szCs w:val="20"/>
                <w:lang w:eastAsia="en-GB"/>
              </w:rPr>
            </w:pPr>
            <w:r w:rsidRPr="00673FE3">
              <w:rPr>
                <w:rFonts w:eastAsia="Times New Roman" w:cs="Arial"/>
                <w:sz w:val="20"/>
                <w:szCs w:val="20"/>
                <w:lang w:eastAsia="en-GB"/>
              </w:rPr>
              <w:t xml:space="preserve">2.245 </w:t>
            </w:r>
          </w:p>
        </w:tc>
        <w:tc>
          <w:tcPr>
            <w:tcW w:w="1159" w:type="dxa"/>
            <w:tcBorders>
              <w:top w:val="nil"/>
              <w:left w:val="nil"/>
              <w:bottom w:val="single" w:sz="4" w:space="0" w:color="auto"/>
              <w:right w:val="single" w:sz="4" w:space="0" w:color="auto"/>
            </w:tcBorders>
            <w:shd w:val="clear" w:color="000000" w:fill="FFFFFF"/>
            <w:hideMark/>
          </w:tcPr>
          <w:p w14:paraId="2292515A" w14:textId="77777777" w:rsidR="00510203" w:rsidRPr="00673FE3" w:rsidRDefault="00510203" w:rsidP="00E118FC">
            <w:pPr>
              <w:spacing w:after="0"/>
              <w:jc w:val="right"/>
              <w:rPr>
                <w:rFonts w:eastAsia="Times New Roman" w:cs="Arial"/>
                <w:sz w:val="20"/>
                <w:szCs w:val="20"/>
                <w:lang w:eastAsia="en-GB"/>
              </w:rPr>
            </w:pPr>
            <w:r w:rsidRPr="00673FE3">
              <w:rPr>
                <w:rFonts w:eastAsia="Times New Roman" w:cs="Arial"/>
                <w:sz w:val="20"/>
                <w:szCs w:val="20"/>
                <w:lang w:eastAsia="en-GB"/>
              </w:rPr>
              <w:t xml:space="preserve">2.000 </w:t>
            </w:r>
          </w:p>
        </w:tc>
        <w:tc>
          <w:tcPr>
            <w:tcW w:w="1159" w:type="dxa"/>
            <w:tcBorders>
              <w:top w:val="nil"/>
              <w:left w:val="nil"/>
              <w:bottom w:val="single" w:sz="4" w:space="0" w:color="auto"/>
              <w:right w:val="single" w:sz="4" w:space="0" w:color="auto"/>
            </w:tcBorders>
            <w:shd w:val="clear" w:color="000000" w:fill="FFFFFF"/>
            <w:hideMark/>
          </w:tcPr>
          <w:p w14:paraId="6247A796" w14:textId="77777777" w:rsidR="00510203" w:rsidRPr="00673FE3" w:rsidRDefault="00510203" w:rsidP="00E118FC">
            <w:pPr>
              <w:spacing w:after="0"/>
              <w:jc w:val="right"/>
              <w:rPr>
                <w:rFonts w:eastAsia="Times New Roman" w:cs="Arial"/>
                <w:sz w:val="20"/>
                <w:szCs w:val="20"/>
                <w:lang w:eastAsia="en-GB"/>
              </w:rPr>
            </w:pPr>
            <w:r w:rsidRPr="00673FE3">
              <w:rPr>
                <w:rFonts w:eastAsia="Times New Roman" w:cs="Arial"/>
                <w:sz w:val="20"/>
                <w:szCs w:val="20"/>
                <w:lang w:eastAsia="en-GB"/>
              </w:rPr>
              <w:t>5.49%</w:t>
            </w:r>
          </w:p>
        </w:tc>
      </w:tr>
      <w:tr w:rsidR="00510203" w:rsidRPr="00673FE3" w14:paraId="16A444B6" w14:textId="77777777" w:rsidTr="00E118FC">
        <w:trPr>
          <w:trHeight w:val="554"/>
        </w:trPr>
        <w:tc>
          <w:tcPr>
            <w:tcW w:w="851" w:type="dxa"/>
            <w:tcBorders>
              <w:top w:val="nil"/>
              <w:left w:val="single" w:sz="4" w:space="0" w:color="auto"/>
              <w:bottom w:val="single" w:sz="4" w:space="0" w:color="auto"/>
              <w:right w:val="single" w:sz="4" w:space="0" w:color="auto"/>
            </w:tcBorders>
            <w:shd w:val="clear" w:color="000000" w:fill="FFFFFF"/>
            <w:noWrap/>
            <w:hideMark/>
          </w:tcPr>
          <w:p w14:paraId="5F27EF39" w14:textId="77777777" w:rsidR="00510203" w:rsidRPr="00673FE3" w:rsidRDefault="00510203" w:rsidP="00E118FC">
            <w:pPr>
              <w:spacing w:after="0"/>
              <w:jc w:val="center"/>
              <w:rPr>
                <w:rFonts w:eastAsia="Times New Roman" w:cs="Arial"/>
                <w:b/>
                <w:bCs/>
                <w:sz w:val="20"/>
                <w:szCs w:val="20"/>
                <w:lang w:eastAsia="en-GB"/>
              </w:rPr>
            </w:pPr>
            <w:r w:rsidRPr="00673FE3">
              <w:rPr>
                <w:rFonts w:eastAsia="Times New Roman" w:cs="Arial"/>
                <w:b/>
                <w:bCs/>
                <w:sz w:val="20"/>
                <w:szCs w:val="20"/>
                <w:lang w:eastAsia="en-GB"/>
              </w:rPr>
              <w:t>3.3.5</w:t>
            </w:r>
          </w:p>
        </w:tc>
        <w:tc>
          <w:tcPr>
            <w:tcW w:w="2651" w:type="dxa"/>
            <w:tcBorders>
              <w:top w:val="nil"/>
              <w:left w:val="nil"/>
              <w:bottom w:val="single" w:sz="4" w:space="0" w:color="auto"/>
              <w:right w:val="single" w:sz="4" w:space="0" w:color="auto"/>
            </w:tcBorders>
            <w:shd w:val="clear" w:color="000000" w:fill="FFFFFF"/>
            <w:hideMark/>
          </w:tcPr>
          <w:p w14:paraId="1A1139A6" w14:textId="77777777" w:rsidR="00510203" w:rsidRPr="00673FE3" w:rsidRDefault="00510203" w:rsidP="00D40856">
            <w:pPr>
              <w:spacing w:after="0"/>
              <w:jc w:val="left"/>
              <w:rPr>
                <w:rFonts w:eastAsia="Times New Roman" w:cs="Arial"/>
                <w:sz w:val="20"/>
                <w:szCs w:val="20"/>
                <w:lang w:eastAsia="en-GB"/>
              </w:rPr>
            </w:pPr>
            <w:r w:rsidRPr="00673FE3">
              <w:rPr>
                <w:rFonts w:eastAsia="Times New Roman" w:cs="Arial"/>
                <w:sz w:val="20"/>
                <w:szCs w:val="20"/>
                <w:lang w:eastAsia="en-GB"/>
              </w:rPr>
              <w:t>WASTE MGT</w:t>
            </w:r>
          </w:p>
        </w:tc>
        <w:tc>
          <w:tcPr>
            <w:tcW w:w="1198" w:type="dxa"/>
            <w:tcBorders>
              <w:top w:val="nil"/>
              <w:left w:val="nil"/>
              <w:bottom w:val="single" w:sz="4" w:space="0" w:color="auto"/>
              <w:right w:val="single" w:sz="4" w:space="0" w:color="auto"/>
            </w:tcBorders>
            <w:shd w:val="clear" w:color="000000" w:fill="FFFFFF"/>
            <w:hideMark/>
          </w:tcPr>
          <w:p w14:paraId="21DD43EA" w14:textId="77777777" w:rsidR="00510203" w:rsidRPr="00673FE3" w:rsidRDefault="00510203" w:rsidP="00E118FC">
            <w:pPr>
              <w:spacing w:after="0"/>
              <w:jc w:val="right"/>
              <w:rPr>
                <w:rFonts w:eastAsia="Times New Roman" w:cs="Arial"/>
                <w:sz w:val="20"/>
                <w:szCs w:val="20"/>
                <w:lang w:eastAsia="en-GB"/>
              </w:rPr>
            </w:pPr>
            <w:r w:rsidRPr="00673FE3">
              <w:rPr>
                <w:rFonts w:eastAsia="Times New Roman" w:cs="Arial"/>
                <w:sz w:val="20"/>
                <w:szCs w:val="20"/>
                <w:lang w:eastAsia="en-GB"/>
              </w:rPr>
              <w:t xml:space="preserve">64.820 </w:t>
            </w:r>
          </w:p>
        </w:tc>
        <w:tc>
          <w:tcPr>
            <w:tcW w:w="1410" w:type="dxa"/>
            <w:tcBorders>
              <w:top w:val="nil"/>
              <w:left w:val="nil"/>
              <w:bottom w:val="single" w:sz="4" w:space="0" w:color="auto"/>
              <w:right w:val="single" w:sz="4" w:space="0" w:color="auto"/>
            </w:tcBorders>
            <w:shd w:val="clear" w:color="000000" w:fill="FFFFFF"/>
            <w:hideMark/>
          </w:tcPr>
          <w:p w14:paraId="40831ABC" w14:textId="77777777" w:rsidR="00510203" w:rsidRPr="00673FE3" w:rsidRDefault="00510203" w:rsidP="00E118FC">
            <w:pPr>
              <w:spacing w:after="0"/>
              <w:jc w:val="right"/>
              <w:rPr>
                <w:rFonts w:eastAsia="Times New Roman" w:cs="Arial"/>
                <w:sz w:val="20"/>
                <w:szCs w:val="20"/>
                <w:lang w:eastAsia="en-GB"/>
              </w:rPr>
            </w:pPr>
            <w:r w:rsidRPr="00673FE3">
              <w:rPr>
                <w:rFonts w:eastAsia="Times New Roman" w:cs="Arial"/>
                <w:sz w:val="20"/>
                <w:szCs w:val="20"/>
                <w:lang w:eastAsia="en-GB"/>
              </w:rPr>
              <w:t xml:space="preserve">63.777 </w:t>
            </w:r>
          </w:p>
        </w:tc>
        <w:tc>
          <w:tcPr>
            <w:tcW w:w="1159" w:type="dxa"/>
            <w:tcBorders>
              <w:top w:val="nil"/>
              <w:left w:val="nil"/>
              <w:bottom w:val="single" w:sz="4" w:space="0" w:color="auto"/>
              <w:right w:val="single" w:sz="4" w:space="0" w:color="auto"/>
            </w:tcBorders>
            <w:shd w:val="clear" w:color="000000" w:fill="FFFFFF"/>
            <w:hideMark/>
          </w:tcPr>
          <w:p w14:paraId="00A57704" w14:textId="77777777" w:rsidR="00510203" w:rsidRPr="00673FE3" w:rsidRDefault="00510203" w:rsidP="00E118FC">
            <w:pPr>
              <w:spacing w:after="0"/>
              <w:jc w:val="right"/>
              <w:rPr>
                <w:rFonts w:eastAsia="Times New Roman" w:cs="Arial"/>
                <w:sz w:val="20"/>
                <w:szCs w:val="20"/>
                <w:lang w:eastAsia="en-GB"/>
              </w:rPr>
            </w:pPr>
            <w:r w:rsidRPr="00673FE3">
              <w:rPr>
                <w:rFonts w:eastAsia="Times New Roman" w:cs="Arial"/>
                <w:sz w:val="20"/>
                <w:szCs w:val="20"/>
                <w:lang w:eastAsia="en-GB"/>
              </w:rPr>
              <w:t xml:space="preserve">-1.043 </w:t>
            </w:r>
          </w:p>
        </w:tc>
        <w:tc>
          <w:tcPr>
            <w:tcW w:w="1159" w:type="dxa"/>
            <w:tcBorders>
              <w:top w:val="nil"/>
              <w:left w:val="nil"/>
              <w:bottom w:val="single" w:sz="4" w:space="0" w:color="auto"/>
              <w:right w:val="single" w:sz="4" w:space="0" w:color="auto"/>
            </w:tcBorders>
            <w:shd w:val="clear" w:color="000000" w:fill="FFFFFF"/>
            <w:hideMark/>
          </w:tcPr>
          <w:p w14:paraId="66D38A53" w14:textId="77777777" w:rsidR="00510203" w:rsidRPr="00673FE3" w:rsidRDefault="00510203" w:rsidP="00E118FC">
            <w:pPr>
              <w:spacing w:after="0"/>
              <w:jc w:val="right"/>
              <w:rPr>
                <w:rFonts w:eastAsia="Times New Roman" w:cs="Arial"/>
                <w:sz w:val="20"/>
                <w:szCs w:val="20"/>
                <w:lang w:eastAsia="en-GB"/>
              </w:rPr>
            </w:pPr>
            <w:r w:rsidRPr="00673FE3">
              <w:rPr>
                <w:rFonts w:eastAsia="Times New Roman" w:cs="Arial"/>
                <w:sz w:val="20"/>
                <w:szCs w:val="20"/>
                <w:lang w:eastAsia="en-GB"/>
              </w:rPr>
              <w:t xml:space="preserve">-0.410 </w:t>
            </w:r>
          </w:p>
        </w:tc>
        <w:tc>
          <w:tcPr>
            <w:tcW w:w="1159" w:type="dxa"/>
            <w:tcBorders>
              <w:top w:val="nil"/>
              <w:left w:val="nil"/>
              <w:bottom w:val="single" w:sz="4" w:space="0" w:color="auto"/>
              <w:right w:val="single" w:sz="4" w:space="0" w:color="auto"/>
            </w:tcBorders>
            <w:shd w:val="clear" w:color="000000" w:fill="FFFFFF"/>
            <w:hideMark/>
          </w:tcPr>
          <w:p w14:paraId="5C6E82FE" w14:textId="77777777" w:rsidR="00510203" w:rsidRPr="00673FE3" w:rsidRDefault="00510203" w:rsidP="00E118FC">
            <w:pPr>
              <w:spacing w:after="0"/>
              <w:jc w:val="right"/>
              <w:rPr>
                <w:rFonts w:eastAsia="Times New Roman" w:cs="Arial"/>
                <w:sz w:val="20"/>
                <w:szCs w:val="20"/>
                <w:lang w:eastAsia="en-GB"/>
              </w:rPr>
            </w:pPr>
            <w:r w:rsidRPr="00673FE3">
              <w:rPr>
                <w:rFonts w:eastAsia="Times New Roman" w:cs="Arial"/>
                <w:sz w:val="20"/>
                <w:szCs w:val="20"/>
                <w:lang w:eastAsia="en-GB"/>
              </w:rPr>
              <w:t>-1.61%</w:t>
            </w:r>
          </w:p>
        </w:tc>
      </w:tr>
      <w:tr w:rsidR="00510203" w:rsidRPr="00673FE3" w14:paraId="20AD6CB8" w14:textId="77777777" w:rsidTr="00E118FC">
        <w:trPr>
          <w:trHeight w:val="554"/>
        </w:trPr>
        <w:tc>
          <w:tcPr>
            <w:tcW w:w="851" w:type="dxa"/>
            <w:tcBorders>
              <w:top w:val="nil"/>
              <w:left w:val="single" w:sz="4" w:space="0" w:color="auto"/>
              <w:bottom w:val="single" w:sz="4" w:space="0" w:color="auto"/>
              <w:right w:val="single" w:sz="4" w:space="0" w:color="auto"/>
            </w:tcBorders>
            <w:shd w:val="clear" w:color="000000" w:fill="A6A6A6"/>
            <w:vAlign w:val="center"/>
            <w:hideMark/>
          </w:tcPr>
          <w:p w14:paraId="36ECA5F3" w14:textId="77777777" w:rsidR="00510203" w:rsidRPr="00673FE3" w:rsidRDefault="00510203" w:rsidP="00E118FC">
            <w:pPr>
              <w:spacing w:after="0"/>
              <w:jc w:val="right"/>
              <w:rPr>
                <w:rFonts w:eastAsia="Times New Roman" w:cs="Arial"/>
                <w:b/>
                <w:bCs/>
                <w:sz w:val="20"/>
                <w:szCs w:val="20"/>
                <w:lang w:eastAsia="en-GB"/>
              </w:rPr>
            </w:pPr>
            <w:r w:rsidRPr="00673FE3">
              <w:rPr>
                <w:rFonts w:eastAsia="Times New Roman" w:cs="Arial"/>
                <w:b/>
                <w:bCs/>
                <w:sz w:val="20"/>
                <w:szCs w:val="20"/>
                <w:lang w:eastAsia="en-GB"/>
              </w:rPr>
              <w:t> </w:t>
            </w:r>
          </w:p>
        </w:tc>
        <w:tc>
          <w:tcPr>
            <w:tcW w:w="2651" w:type="dxa"/>
            <w:tcBorders>
              <w:top w:val="nil"/>
              <w:left w:val="nil"/>
              <w:bottom w:val="single" w:sz="4" w:space="0" w:color="auto"/>
              <w:right w:val="single" w:sz="4" w:space="0" w:color="auto"/>
            </w:tcBorders>
            <w:shd w:val="clear" w:color="000000" w:fill="A6A6A6"/>
            <w:noWrap/>
            <w:vAlign w:val="center"/>
            <w:hideMark/>
          </w:tcPr>
          <w:p w14:paraId="2FA73F15" w14:textId="77777777" w:rsidR="00510203" w:rsidRPr="00673FE3" w:rsidRDefault="00510203" w:rsidP="00942876">
            <w:pPr>
              <w:spacing w:after="0"/>
              <w:jc w:val="left"/>
              <w:rPr>
                <w:rFonts w:eastAsia="Times New Roman" w:cs="Arial"/>
                <w:b/>
                <w:bCs/>
                <w:sz w:val="20"/>
                <w:szCs w:val="20"/>
                <w:lang w:eastAsia="en-GB"/>
              </w:rPr>
            </w:pPr>
            <w:r w:rsidRPr="00673FE3">
              <w:rPr>
                <w:rFonts w:eastAsia="Times New Roman" w:cs="Arial"/>
                <w:b/>
                <w:bCs/>
                <w:sz w:val="20"/>
                <w:szCs w:val="20"/>
                <w:lang w:eastAsia="en-GB"/>
              </w:rPr>
              <w:t>TOTAL - COMMUNITY SERVICES</w:t>
            </w:r>
          </w:p>
        </w:tc>
        <w:tc>
          <w:tcPr>
            <w:tcW w:w="1198" w:type="dxa"/>
            <w:tcBorders>
              <w:top w:val="nil"/>
              <w:left w:val="nil"/>
              <w:bottom w:val="single" w:sz="4" w:space="0" w:color="auto"/>
              <w:right w:val="single" w:sz="4" w:space="0" w:color="auto"/>
            </w:tcBorders>
            <w:shd w:val="clear" w:color="000000" w:fill="A6A6A6"/>
            <w:vAlign w:val="center"/>
            <w:hideMark/>
          </w:tcPr>
          <w:p w14:paraId="3E2BE05F" w14:textId="77777777" w:rsidR="00510203" w:rsidRPr="00673FE3" w:rsidRDefault="00510203" w:rsidP="00E118FC">
            <w:pPr>
              <w:spacing w:after="0"/>
              <w:jc w:val="right"/>
              <w:rPr>
                <w:rFonts w:eastAsia="Times New Roman" w:cs="Arial"/>
                <w:b/>
                <w:bCs/>
                <w:sz w:val="20"/>
                <w:szCs w:val="20"/>
                <w:lang w:eastAsia="en-GB"/>
              </w:rPr>
            </w:pPr>
            <w:r w:rsidRPr="00673FE3">
              <w:rPr>
                <w:rFonts w:eastAsia="Times New Roman" w:cs="Arial"/>
                <w:b/>
                <w:bCs/>
                <w:sz w:val="20"/>
                <w:szCs w:val="20"/>
                <w:lang w:eastAsia="en-GB"/>
              </w:rPr>
              <w:t xml:space="preserve">133.560 </w:t>
            </w:r>
          </w:p>
        </w:tc>
        <w:tc>
          <w:tcPr>
            <w:tcW w:w="1410" w:type="dxa"/>
            <w:tcBorders>
              <w:top w:val="nil"/>
              <w:left w:val="nil"/>
              <w:bottom w:val="single" w:sz="4" w:space="0" w:color="auto"/>
              <w:right w:val="single" w:sz="4" w:space="0" w:color="auto"/>
            </w:tcBorders>
            <w:shd w:val="clear" w:color="000000" w:fill="A6A6A6"/>
            <w:vAlign w:val="center"/>
            <w:hideMark/>
          </w:tcPr>
          <w:p w14:paraId="344B6AE3" w14:textId="4CA4010E" w:rsidR="00510203" w:rsidRPr="00673FE3" w:rsidRDefault="00510203" w:rsidP="007C37A7">
            <w:pPr>
              <w:spacing w:after="0"/>
              <w:jc w:val="right"/>
              <w:rPr>
                <w:rFonts w:eastAsia="Times New Roman" w:cs="Arial"/>
                <w:b/>
                <w:bCs/>
                <w:sz w:val="20"/>
                <w:szCs w:val="20"/>
                <w:lang w:eastAsia="en-GB"/>
              </w:rPr>
            </w:pPr>
            <w:r w:rsidRPr="00673FE3">
              <w:rPr>
                <w:rFonts w:eastAsia="Times New Roman" w:cs="Arial"/>
                <w:b/>
                <w:bCs/>
                <w:sz w:val="20"/>
                <w:szCs w:val="20"/>
                <w:lang w:eastAsia="en-GB"/>
              </w:rPr>
              <w:t>1</w:t>
            </w:r>
            <w:r w:rsidR="007C37A7">
              <w:rPr>
                <w:rFonts w:eastAsia="Times New Roman" w:cs="Arial"/>
                <w:b/>
                <w:bCs/>
                <w:sz w:val="20"/>
                <w:szCs w:val="20"/>
                <w:lang w:eastAsia="en-GB"/>
              </w:rPr>
              <w:t>29.444</w:t>
            </w:r>
            <w:r w:rsidRPr="00673FE3">
              <w:rPr>
                <w:rFonts w:eastAsia="Times New Roman" w:cs="Arial"/>
                <w:b/>
                <w:bCs/>
                <w:sz w:val="20"/>
                <w:szCs w:val="20"/>
                <w:lang w:eastAsia="en-GB"/>
              </w:rPr>
              <w:t xml:space="preserve"> </w:t>
            </w:r>
          </w:p>
        </w:tc>
        <w:tc>
          <w:tcPr>
            <w:tcW w:w="1159" w:type="dxa"/>
            <w:tcBorders>
              <w:top w:val="nil"/>
              <w:left w:val="nil"/>
              <w:bottom w:val="single" w:sz="4" w:space="0" w:color="auto"/>
              <w:right w:val="single" w:sz="4" w:space="0" w:color="auto"/>
            </w:tcBorders>
            <w:shd w:val="clear" w:color="000000" w:fill="A6A6A6"/>
            <w:vAlign w:val="center"/>
            <w:hideMark/>
          </w:tcPr>
          <w:p w14:paraId="4C506027" w14:textId="5E49A27B" w:rsidR="00510203" w:rsidRPr="00673FE3" w:rsidRDefault="00510203" w:rsidP="007C37A7">
            <w:pPr>
              <w:spacing w:after="0"/>
              <w:jc w:val="right"/>
              <w:rPr>
                <w:rFonts w:eastAsia="Times New Roman" w:cs="Arial"/>
                <w:b/>
                <w:bCs/>
                <w:sz w:val="20"/>
                <w:szCs w:val="20"/>
                <w:lang w:eastAsia="en-GB"/>
              </w:rPr>
            </w:pPr>
            <w:r w:rsidRPr="00673FE3">
              <w:rPr>
                <w:rFonts w:eastAsia="Times New Roman" w:cs="Arial"/>
                <w:b/>
                <w:bCs/>
                <w:sz w:val="20"/>
                <w:szCs w:val="20"/>
                <w:lang w:eastAsia="en-GB"/>
              </w:rPr>
              <w:t>-</w:t>
            </w:r>
            <w:r w:rsidR="007C37A7">
              <w:rPr>
                <w:rFonts w:eastAsia="Times New Roman" w:cs="Arial"/>
                <w:b/>
                <w:bCs/>
                <w:sz w:val="20"/>
                <w:szCs w:val="20"/>
                <w:lang w:eastAsia="en-GB"/>
              </w:rPr>
              <w:t>4.116</w:t>
            </w:r>
            <w:r w:rsidRPr="00673FE3">
              <w:rPr>
                <w:rFonts w:eastAsia="Times New Roman" w:cs="Arial"/>
                <w:b/>
                <w:bCs/>
                <w:sz w:val="20"/>
                <w:szCs w:val="20"/>
                <w:lang w:eastAsia="en-GB"/>
              </w:rPr>
              <w:t xml:space="preserve"> </w:t>
            </w:r>
          </w:p>
        </w:tc>
        <w:tc>
          <w:tcPr>
            <w:tcW w:w="1159" w:type="dxa"/>
            <w:tcBorders>
              <w:top w:val="nil"/>
              <w:left w:val="nil"/>
              <w:bottom w:val="single" w:sz="4" w:space="0" w:color="auto"/>
              <w:right w:val="single" w:sz="4" w:space="0" w:color="auto"/>
            </w:tcBorders>
            <w:shd w:val="clear" w:color="000000" w:fill="A6A6A6"/>
            <w:vAlign w:val="center"/>
            <w:hideMark/>
          </w:tcPr>
          <w:p w14:paraId="4285A244" w14:textId="77777777" w:rsidR="00510203" w:rsidRPr="00673FE3" w:rsidRDefault="00510203" w:rsidP="00E118FC">
            <w:pPr>
              <w:spacing w:after="0"/>
              <w:jc w:val="right"/>
              <w:rPr>
                <w:rFonts w:eastAsia="Times New Roman" w:cs="Arial"/>
                <w:b/>
                <w:bCs/>
                <w:sz w:val="20"/>
                <w:szCs w:val="20"/>
                <w:lang w:eastAsia="en-GB"/>
              </w:rPr>
            </w:pPr>
            <w:r w:rsidRPr="00673FE3">
              <w:rPr>
                <w:rFonts w:eastAsia="Times New Roman" w:cs="Arial"/>
                <w:b/>
                <w:bCs/>
                <w:sz w:val="20"/>
                <w:szCs w:val="20"/>
                <w:lang w:eastAsia="en-GB"/>
              </w:rPr>
              <w:t xml:space="preserve">0.928 </w:t>
            </w:r>
          </w:p>
        </w:tc>
        <w:tc>
          <w:tcPr>
            <w:tcW w:w="1159" w:type="dxa"/>
            <w:tcBorders>
              <w:top w:val="nil"/>
              <w:left w:val="nil"/>
              <w:bottom w:val="single" w:sz="4" w:space="0" w:color="auto"/>
              <w:right w:val="single" w:sz="4" w:space="0" w:color="auto"/>
            </w:tcBorders>
            <w:shd w:val="clear" w:color="000000" w:fill="A6A6A6"/>
            <w:vAlign w:val="center"/>
            <w:hideMark/>
          </w:tcPr>
          <w:p w14:paraId="1BAEEC56" w14:textId="0B7E36A1" w:rsidR="00510203" w:rsidRPr="00673FE3" w:rsidRDefault="00510203" w:rsidP="007C37A7">
            <w:pPr>
              <w:spacing w:after="0"/>
              <w:jc w:val="right"/>
              <w:rPr>
                <w:rFonts w:eastAsia="Times New Roman" w:cs="Arial"/>
                <w:b/>
                <w:bCs/>
                <w:sz w:val="20"/>
                <w:szCs w:val="20"/>
                <w:lang w:eastAsia="en-GB"/>
              </w:rPr>
            </w:pPr>
            <w:r w:rsidRPr="00673FE3">
              <w:rPr>
                <w:rFonts w:eastAsia="Times New Roman" w:cs="Arial"/>
                <w:b/>
                <w:bCs/>
                <w:sz w:val="20"/>
                <w:szCs w:val="20"/>
                <w:lang w:eastAsia="en-GB"/>
              </w:rPr>
              <w:t>-</w:t>
            </w:r>
            <w:r w:rsidR="007C37A7">
              <w:rPr>
                <w:rFonts w:eastAsia="Times New Roman" w:cs="Arial"/>
                <w:b/>
                <w:bCs/>
                <w:sz w:val="20"/>
                <w:szCs w:val="20"/>
                <w:lang w:eastAsia="en-GB"/>
              </w:rPr>
              <w:t>3.08</w:t>
            </w:r>
            <w:r w:rsidRPr="00673FE3">
              <w:rPr>
                <w:rFonts w:eastAsia="Times New Roman" w:cs="Arial"/>
                <w:b/>
                <w:bCs/>
                <w:sz w:val="20"/>
                <w:szCs w:val="20"/>
                <w:lang w:eastAsia="en-GB"/>
              </w:rPr>
              <w:t>%</w:t>
            </w:r>
          </w:p>
        </w:tc>
      </w:tr>
    </w:tbl>
    <w:p w14:paraId="3830A1A4" w14:textId="77777777" w:rsidR="00510203" w:rsidRDefault="00510203" w:rsidP="00510203">
      <w:pPr>
        <w:spacing w:after="0"/>
        <w:rPr>
          <w:rFonts w:cs="Arial"/>
        </w:rPr>
      </w:pPr>
    </w:p>
    <w:p w14:paraId="3CB5DF67" w14:textId="0493852F" w:rsidR="00510203" w:rsidRDefault="00510203" w:rsidP="00510203">
      <w:pPr>
        <w:spacing w:after="0"/>
        <w:rPr>
          <w:rFonts w:cs="Arial"/>
        </w:rPr>
      </w:pPr>
      <w:r>
        <w:rPr>
          <w:rFonts w:cs="Arial"/>
        </w:rPr>
        <w:t>Community Services is forecast to under</w:t>
      </w:r>
      <w:r w:rsidRPr="005C6DB7">
        <w:rPr>
          <w:rFonts w:cs="Arial"/>
        </w:rPr>
        <w:t>spend by £</w:t>
      </w:r>
      <w:r w:rsidR="007C37A7">
        <w:rPr>
          <w:rFonts w:cs="Arial"/>
        </w:rPr>
        <w:t>4.116</w:t>
      </w:r>
      <w:r>
        <w:rPr>
          <w:rFonts w:cs="Arial"/>
        </w:rPr>
        <w:t>m. Th</w:t>
      </w:r>
      <w:r w:rsidR="007C37A7">
        <w:rPr>
          <w:rFonts w:cs="Arial"/>
        </w:rPr>
        <w:t>is an improved positon of £5.044</w:t>
      </w:r>
      <w:r>
        <w:rPr>
          <w:rFonts w:cs="Arial"/>
        </w:rPr>
        <w:t xml:space="preserve">m </w:t>
      </w:r>
      <w:r w:rsidRPr="005C6DB7">
        <w:rPr>
          <w:rFonts w:cs="Arial"/>
        </w:rPr>
        <w:t>compared to Quarter 2 Cabinet monitoring.</w:t>
      </w:r>
    </w:p>
    <w:p w14:paraId="28484F8E" w14:textId="77777777" w:rsidR="00510203" w:rsidRDefault="00510203" w:rsidP="00510203">
      <w:pPr>
        <w:spacing w:after="0"/>
        <w:rPr>
          <w:rFonts w:cs="Arial"/>
        </w:rPr>
      </w:pPr>
    </w:p>
    <w:p w14:paraId="7920CBF4" w14:textId="044AC5F9" w:rsidR="00510203" w:rsidRDefault="00510203" w:rsidP="00510203">
      <w:pPr>
        <w:spacing w:after="0"/>
        <w:rPr>
          <w:rFonts w:cs="Arial"/>
        </w:rPr>
      </w:pPr>
      <w:r w:rsidRPr="007C37A7">
        <w:rPr>
          <w:rFonts w:cs="Arial"/>
        </w:rPr>
        <w:t xml:space="preserve">Customer Access </w:t>
      </w:r>
      <w:r w:rsidR="007C37A7" w:rsidRPr="007C37A7">
        <w:rPr>
          <w:rFonts w:cs="Arial"/>
        </w:rPr>
        <w:t>is forecasting an</w:t>
      </w:r>
      <w:r w:rsidRPr="007C37A7">
        <w:rPr>
          <w:rFonts w:cs="Arial"/>
        </w:rPr>
        <w:t xml:space="preserve"> underspend of £0.</w:t>
      </w:r>
      <w:r w:rsidR="007C37A7" w:rsidRPr="007C37A7">
        <w:rPr>
          <w:rFonts w:cs="Arial"/>
        </w:rPr>
        <w:t>538m</w:t>
      </w:r>
      <w:r w:rsidRPr="007C37A7">
        <w:rPr>
          <w:rFonts w:cs="Arial"/>
        </w:rPr>
        <w:t xml:space="preserve"> due to staff vacancies. This has </w:t>
      </w:r>
      <w:r w:rsidR="007C37A7" w:rsidRPr="007C37A7">
        <w:rPr>
          <w:rFonts w:cs="Arial"/>
        </w:rPr>
        <w:t>improved by £0.310m since Quarter 2 due to continued staff vacancies now reflected in the forecast</w:t>
      </w:r>
      <w:r w:rsidRPr="007C37A7">
        <w:rPr>
          <w:rFonts w:cs="Arial"/>
        </w:rPr>
        <w:t>.</w:t>
      </w:r>
      <w:r>
        <w:rPr>
          <w:rFonts w:cs="Arial"/>
        </w:rPr>
        <w:t xml:space="preserve"> </w:t>
      </w:r>
    </w:p>
    <w:p w14:paraId="7A3D59E1" w14:textId="77777777" w:rsidR="00510203" w:rsidRDefault="00510203" w:rsidP="00510203">
      <w:pPr>
        <w:spacing w:after="0"/>
        <w:rPr>
          <w:rFonts w:cs="Arial"/>
        </w:rPr>
      </w:pPr>
    </w:p>
    <w:p w14:paraId="1EAE11E3" w14:textId="1920E91C" w:rsidR="00510203" w:rsidRDefault="00510203" w:rsidP="00510203">
      <w:pPr>
        <w:spacing w:after="0"/>
        <w:rPr>
          <w:rFonts w:cs="Arial"/>
        </w:rPr>
      </w:pPr>
      <w:r>
        <w:rPr>
          <w:rFonts w:cs="Arial"/>
        </w:rPr>
        <w:t xml:space="preserve">Highways is forecasting an underspend of £6.916m, which is mainly </w:t>
      </w:r>
      <w:r w:rsidRPr="00CC747E">
        <w:rPr>
          <w:rFonts w:cs="Arial"/>
        </w:rPr>
        <w:t>due to a combination of borrowing to fund structural defects</w:t>
      </w:r>
      <w:r>
        <w:rPr>
          <w:rFonts w:cs="Arial"/>
        </w:rPr>
        <w:t>, traffic signal repairs, streetlighting maintenance and drainage maintenance</w:t>
      </w:r>
      <w:r w:rsidRPr="00CC747E">
        <w:rPr>
          <w:rFonts w:cs="Arial"/>
        </w:rPr>
        <w:t xml:space="preserve"> rather </w:t>
      </w:r>
      <w:r w:rsidR="00784DEF">
        <w:rPr>
          <w:rFonts w:cs="Arial"/>
        </w:rPr>
        <w:t xml:space="preserve">than </w:t>
      </w:r>
      <w:r>
        <w:rPr>
          <w:rFonts w:cs="Arial"/>
        </w:rPr>
        <w:t>using a budgeted revenue contribution (£6.077</w:t>
      </w:r>
      <w:r w:rsidRPr="00CC747E">
        <w:rPr>
          <w:rFonts w:cs="Arial"/>
        </w:rPr>
        <w:t>m) and additional income under Highway Reg</w:t>
      </w:r>
      <w:r>
        <w:rPr>
          <w:rFonts w:cs="Arial"/>
        </w:rPr>
        <w:t xml:space="preserve">ulation &amp; Inspection (£0.839m). This is an improved position of £3.939m as a result </w:t>
      </w:r>
      <w:r w:rsidR="00784DEF">
        <w:rPr>
          <w:rFonts w:cs="Arial"/>
        </w:rPr>
        <w:t xml:space="preserve">of </w:t>
      </w:r>
      <w:r>
        <w:rPr>
          <w:rFonts w:cs="Arial"/>
        </w:rPr>
        <w:t xml:space="preserve">the increased capitalisation of costs that were previously charged to revenue. </w:t>
      </w:r>
    </w:p>
    <w:p w14:paraId="16F102C4" w14:textId="77777777" w:rsidR="00510203" w:rsidRDefault="00510203" w:rsidP="00510203">
      <w:pPr>
        <w:spacing w:after="0"/>
        <w:rPr>
          <w:rFonts w:cs="Arial"/>
        </w:rPr>
      </w:pPr>
    </w:p>
    <w:p w14:paraId="3703CFC0" w14:textId="5336708A" w:rsidR="00510203" w:rsidRDefault="00510203" w:rsidP="00510203">
      <w:pPr>
        <w:spacing w:after="0"/>
        <w:rPr>
          <w:rFonts w:cs="Arial"/>
        </w:rPr>
      </w:pPr>
      <w:r>
        <w:rPr>
          <w:rFonts w:cs="Arial"/>
        </w:rPr>
        <w:t>Libraries, Museums, Culture and Registrars (LMCR) are forecast to overspend by £2.136m.This is largely due to undeliverable savings within libraries which have b</w:t>
      </w:r>
      <w:r w:rsidR="00784DEF">
        <w:rPr>
          <w:rFonts w:cs="Arial"/>
        </w:rPr>
        <w:t>e built back in to the MTFS from</w:t>
      </w:r>
      <w:r>
        <w:rPr>
          <w:rFonts w:cs="Arial"/>
        </w:rPr>
        <w:t xml:space="preserve"> 2018/19. This is a slightly improved position compared to Quarter 2 due to reduced staff costs. </w:t>
      </w:r>
    </w:p>
    <w:p w14:paraId="2845DB95" w14:textId="77777777" w:rsidR="00510203" w:rsidRDefault="00510203" w:rsidP="00510203">
      <w:pPr>
        <w:spacing w:after="0"/>
        <w:rPr>
          <w:rFonts w:cs="Arial"/>
        </w:rPr>
      </w:pPr>
    </w:p>
    <w:p w14:paraId="1B05AD03" w14:textId="77777777" w:rsidR="00510203" w:rsidRDefault="00510203" w:rsidP="00510203">
      <w:pPr>
        <w:spacing w:after="0"/>
        <w:rPr>
          <w:rFonts w:cs="Arial"/>
        </w:rPr>
      </w:pPr>
      <w:r w:rsidRPr="00A041B1">
        <w:rPr>
          <w:rFonts w:cs="Arial"/>
        </w:rPr>
        <w:t xml:space="preserve">Public and Integrated Transport </w:t>
      </w:r>
      <w:r>
        <w:rPr>
          <w:rFonts w:cs="Arial"/>
        </w:rPr>
        <w:t>is forecast to overspend by £2.245</w:t>
      </w:r>
      <w:r w:rsidRPr="00A041B1">
        <w:rPr>
          <w:rFonts w:cs="Arial"/>
        </w:rPr>
        <w:t>m</w:t>
      </w:r>
      <w:r>
        <w:rPr>
          <w:rFonts w:cs="Arial"/>
        </w:rPr>
        <w:t xml:space="preserve"> which is an increased overspend compared to Quarter 2. This is predominantly </w:t>
      </w:r>
      <w:r w:rsidRPr="00A041B1">
        <w:rPr>
          <w:rFonts w:cs="Arial"/>
        </w:rPr>
        <w:t xml:space="preserve">due to delayed delivery of savings </w:t>
      </w:r>
      <w:r>
        <w:rPr>
          <w:rFonts w:cs="Arial"/>
        </w:rPr>
        <w:t>within</w:t>
      </w:r>
      <w:r w:rsidRPr="00A041B1">
        <w:rPr>
          <w:rFonts w:cs="Arial"/>
        </w:rPr>
        <w:t xml:space="preserve"> Special Educational Needs (SEN) Transport and additional demand within the service. </w:t>
      </w:r>
      <w:r>
        <w:rPr>
          <w:rFonts w:cs="Arial"/>
        </w:rPr>
        <w:t xml:space="preserve">Both these issues </w:t>
      </w:r>
      <w:r w:rsidRPr="00A041B1">
        <w:rPr>
          <w:rFonts w:cs="Arial"/>
        </w:rPr>
        <w:t>have been addressed as part of the MTFS</w:t>
      </w:r>
      <w:r>
        <w:rPr>
          <w:rFonts w:cs="Arial"/>
        </w:rPr>
        <w:t xml:space="preserve"> from 2018/19. </w:t>
      </w:r>
    </w:p>
    <w:p w14:paraId="43CB0350" w14:textId="77777777" w:rsidR="00510203" w:rsidRDefault="00510203" w:rsidP="00510203">
      <w:pPr>
        <w:spacing w:after="0"/>
        <w:rPr>
          <w:rFonts w:cs="Arial"/>
        </w:rPr>
      </w:pPr>
    </w:p>
    <w:p w14:paraId="247B2328" w14:textId="01B76E6E" w:rsidR="00D40856" w:rsidRDefault="00510203" w:rsidP="00510203">
      <w:pPr>
        <w:spacing w:after="0"/>
        <w:rPr>
          <w:rFonts w:cs="Arial"/>
        </w:rPr>
      </w:pPr>
      <w:r>
        <w:rPr>
          <w:rFonts w:cs="Arial"/>
        </w:rPr>
        <w:t>Waste M</w:t>
      </w:r>
      <w:r w:rsidRPr="00CC747E">
        <w:rPr>
          <w:rFonts w:cs="Arial"/>
        </w:rPr>
        <w:t>anagement which i</w:t>
      </w:r>
      <w:r>
        <w:rPr>
          <w:rFonts w:cs="Arial"/>
        </w:rPr>
        <w:t>s forecast to underspend by £1.043</w:t>
      </w:r>
      <w:r w:rsidRPr="00CC747E">
        <w:rPr>
          <w:rFonts w:cs="Arial"/>
        </w:rPr>
        <w:t>m due to</w:t>
      </w:r>
      <w:r>
        <w:rPr>
          <w:rFonts w:cs="Arial"/>
        </w:rPr>
        <w:t xml:space="preserve"> a combination of various over and underspends</w:t>
      </w:r>
      <w:r w:rsidR="00784DEF">
        <w:rPr>
          <w:rFonts w:cs="Arial"/>
        </w:rPr>
        <w:t>,</w:t>
      </w:r>
      <w:r>
        <w:rPr>
          <w:rFonts w:cs="Arial"/>
        </w:rPr>
        <w:t xml:space="preserve"> the most significant of which is the </w:t>
      </w:r>
      <w:r w:rsidR="00784DEF">
        <w:rPr>
          <w:rFonts w:cs="Arial"/>
        </w:rPr>
        <w:lastRenderedPageBreak/>
        <w:t>reduction in</w:t>
      </w:r>
      <w:r>
        <w:rPr>
          <w:rFonts w:cs="Arial"/>
        </w:rPr>
        <w:t xml:space="preserve"> forecast waste arisings (1.5% increase rather than the budgeted 5.4%)</w:t>
      </w:r>
      <w:r w:rsidRPr="00CC747E">
        <w:rPr>
          <w:rFonts w:cs="Arial"/>
        </w:rPr>
        <w:t xml:space="preserve">. </w:t>
      </w:r>
      <w:r w:rsidR="00784DEF">
        <w:rPr>
          <w:rFonts w:cs="Arial"/>
        </w:rPr>
        <w:t xml:space="preserve">This position has improved </w:t>
      </w:r>
      <w:r>
        <w:rPr>
          <w:rFonts w:cs="Arial"/>
        </w:rPr>
        <w:t>since Quarter 2 as a result of increased underspends on green waste and an imp</w:t>
      </w:r>
      <w:r w:rsidR="00784DEF">
        <w:rPr>
          <w:rFonts w:cs="Arial"/>
        </w:rPr>
        <w:t>roved position for</w:t>
      </w:r>
      <w:r>
        <w:rPr>
          <w:rFonts w:cs="Arial"/>
        </w:rPr>
        <w:t xml:space="preserve"> household waste recycling centres. </w:t>
      </w:r>
    </w:p>
    <w:p w14:paraId="56960F1C" w14:textId="77777777" w:rsidR="00942876" w:rsidRDefault="00942876" w:rsidP="00510203">
      <w:pPr>
        <w:spacing w:after="0"/>
        <w:rPr>
          <w:rFonts w:cs="Arial"/>
        </w:rPr>
      </w:pPr>
    </w:p>
    <w:p w14:paraId="55CE9557" w14:textId="77777777" w:rsidR="00942876" w:rsidRDefault="00942876" w:rsidP="00510203">
      <w:pPr>
        <w:spacing w:after="0"/>
        <w:rPr>
          <w:rFonts w:cs="Arial"/>
        </w:rPr>
      </w:pPr>
    </w:p>
    <w:p w14:paraId="71440138" w14:textId="77777777" w:rsidR="00942876" w:rsidRDefault="00942876" w:rsidP="00510203">
      <w:pPr>
        <w:spacing w:after="0"/>
        <w:rPr>
          <w:rFonts w:cs="Arial"/>
        </w:rPr>
      </w:pPr>
    </w:p>
    <w:p w14:paraId="58EFC0A5" w14:textId="77777777" w:rsidR="00942876" w:rsidRDefault="00942876" w:rsidP="00510203">
      <w:pPr>
        <w:spacing w:after="0"/>
        <w:rPr>
          <w:rFonts w:cs="Arial"/>
        </w:rPr>
      </w:pPr>
    </w:p>
    <w:p w14:paraId="00BE6B2A" w14:textId="77777777" w:rsidR="00942876" w:rsidRDefault="00942876" w:rsidP="00510203">
      <w:pPr>
        <w:spacing w:after="0"/>
        <w:rPr>
          <w:rFonts w:cs="Arial"/>
        </w:rPr>
      </w:pPr>
    </w:p>
    <w:p w14:paraId="2421C8FB" w14:textId="77777777" w:rsidR="00942876" w:rsidRDefault="00942876" w:rsidP="00510203">
      <w:pPr>
        <w:spacing w:after="0"/>
        <w:rPr>
          <w:rFonts w:cs="Arial"/>
        </w:rPr>
      </w:pPr>
    </w:p>
    <w:p w14:paraId="3F280ACB" w14:textId="77777777" w:rsidR="00942876" w:rsidRDefault="00942876" w:rsidP="00510203">
      <w:pPr>
        <w:spacing w:after="0"/>
        <w:rPr>
          <w:rFonts w:cs="Arial"/>
        </w:rPr>
      </w:pPr>
    </w:p>
    <w:p w14:paraId="7E32E944" w14:textId="77777777" w:rsidR="00942876" w:rsidRDefault="00942876" w:rsidP="00510203">
      <w:pPr>
        <w:spacing w:after="0"/>
        <w:rPr>
          <w:rFonts w:cs="Arial"/>
        </w:rPr>
      </w:pPr>
    </w:p>
    <w:p w14:paraId="022BE439" w14:textId="77777777" w:rsidR="00942876" w:rsidRDefault="00942876" w:rsidP="00510203">
      <w:pPr>
        <w:spacing w:after="0"/>
        <w:rPr>
          <w:rFonts w:cs="Arial"/>
        </w:rPr>
      </w:pPr>
    </w:p>
    <w:p w14:paraId="68DEFE66" w14:textId="77777777" w:rsidR="00942876" w:rsidRDefault="00942876" w:rsidP="00510203">
      <w:pPr>
        <w:spacing w:after="0"/>
        <w:rPr>
          <w:rFonts w:cs="Arial"/>
        </w:rPr>
      </w:pPr>
    </w:p>
    <w:p w14:paraId="4DD288E4" w14:textId="77777777" w:rsidR="00942876" w:rsidRDefault="00942876" w:rsidP="00510203">
      <w:pPr>
        <w:spacing w:after="0"/>
        <w:rPr>
          <w:rFonts w:cs="Arial"/>
        </w:rPr>
      </w:pPr>
    </w:p>
    <w:p w14:paraId="20DA6AA5" w14:textId="77777777" w:rsidR="00942876" w:rsidRDefault="00942876" w:rsidP="00510203">
      <w:pPr>
        <w:spacing w:after="0"/>
        <w:rPr>
          <w:rFonts w:cs="Arial"/>
        </w:rPr>
      </w:pPr>
    </w:p>
    <w:p w14:paraId="763A1148" w14:textId="77777777" w:rsidR="00942876" w:rsidRDefault="00942876" w:rsidP="00510203">
      <w:pPr>
        <w:spacing w:after="0"/>
        <w:rPr>
          <w:rFonts w:cs="Arial"/>
        </w:rPr>
      </w:pPr>
    </w:p>
    <w:p w14:paraId="2CB5F317" w14:textId="77777777" w:rsidR="00942876" w:rsidRDefault="00942876" w:rsidP="00510203">
      <w:pPr>
        <w:spacing w:after="0"/>
        <w:rPr>
          <w:rFonts w:cs="Arial"/>
        </w:rPr>
      </w:pPr>
    </w:p>
    <w:p w14:paraId="5B3B7D9D" w14:textId="77777777" w:rsidR="00942876" w:rsidRDefault="00942876" w:rsidP="00510203">
      <w:pPr>
        <w:spacing w:after="0"/>
        <w:rPr>
          <w:rFonts w:cs="Arial"/>
        </w:rPr>
      </w:pPr>
    </w:p>
    <w:p w14:paraId="144EDC16" w14:textId="77777777" w:rsidR="00942876" w:rsidRDefault="00942876" w:rsidP="00510203">
      <w:pPr>
        <w:spacing w:after="0"/>
        <w:rPr>
          <w:rFonts w:cs="Arial"/>
        </w:rPr>
      </w:pPr>
    </w:p>
    <w:p w14:paraId="305DE89F" w14:textId="77777777" w:rsidR="00942876" w:rsidRDefault="00942876" w:rsidP="00510203">
      <w:pPr>
        <w:spacing w:after="0"/>
        <w:rPr>
          <w:rFonts w:cs="Arial"/>
        </w:rPr>
      </w:pPr>
    </w:p>
    <w:p w14:paraId="1DB1F12F" w14:textId="77777777" w:rsidR="00942876" w:rsidRDefault="00942876" w:rsidP="00510203">
      <w:pPr>
        <w:spacing w:after="0"/>
        <w:rPr>
          <w:rFonts w:cs="Arial"/>
        </w:rPr>
      </w:pPr>
    </w:p>
    <w:p w14:paraId="4E7E4E3F" w14:textId="77777777" w:rsidR="00942876" w:rsidRDefault="00942876" w:rsidP="00510203">
      <w:pPr>
        <w:spacing w:after="0"/>
        <w:rPr>
          <w:rFonts w:cs="Arial"/>
        </w:rPr>
      </w:pPr>
    </w:p>
    <w:p w14:paraId="5E8CAD3D" w14:textId="77777777" w:rsidR="00942876" w:rsidRDefault="00942876" w:rsidP="00510203">
      <w:pPr>
        <w:spacing w:after="0"/>
        <w:rPr>
          <w:rFonts w:cs="Arial"/>
        </w:rPr>
      </w:pPr>
    </w:p>
    <w:p w14:paraId="55DEDBA5" w14:textId="77777777" w:rsidR="00942876" w:rsidRDefault="00942876" w:rsidP="00510203">
      <w:pPr>
        <w:spacing w:after="0"/>
        <w:rPr>
          <w:rFonts w:cs="Arial"/>
        </w:rPr>
      </w:pPr>
    </w:p>
    <w:p w14:paraId="619D24A7" w14:textId="77777777" w:rsidR="00942876" w:rsidRDefault="00942876" w:rsidP="00510203">
      <w:pPr>
        <w:spacing w:after="0"/>
        <w:rPr>
          <w:rFonts w:cs="Arial"/>
        </w:rPr>
      </w:pPr>
    </w:p>
    <w:p w14:paraId="64940118" w14:textId="77777777" w:rsidR="00942876" w:rsidRDefault="00942876" w:rsidP="00510203">
      <w:pPr>
        <w:spacing w:after="0"/>
        <w:rPr>
          <w:rFonts w:cs="Arial"/>
        </w:rPr>
      </w:pPr>
    </w:p>
    <w:p w14:paraId="1CFADB2D" w14:textId="77777777" w:rsidR="00942876" w:rsidRDefault="00942876" w:rsidP="00510203">
      <w:pPr>
        <w:spacing w:after="0"/>
        <w:rPr>
          <w:rFonts w:cs="Arial"/>
        </w:rPr>
      </w:pPr>
    </w:p>
    <w:p w14:paraId="5EB6FE93" w14:textId="77777777" w:rsidR="00942876" w:rsidRDefault="00942876" w:rsidP="00510203">
      <w:pPr>
        <w:spacing w:after="0"/>
        <w:rPr>
          <w:rFonts w:cs="Arial"/>
        </w:rPr>
      </w:pPr>
    </w:p>
    <w:p w14:paraId="2D513435" w14:textId="77777777" w:rsidR="00942876" w:rsidRDefault="00942876" w:rsidP="00510203">
      <w:pPr>
        <w:spacing w:after="0"/>
        <w:rPr>
          <w:rFonts w:cs="Arial"/>
        </w:rPr>
      </w:pPr>
    </w:p>
    <w:p w14:paraId="1F4C90D3" w14:textId="77777777" w:rsidR="00942876" w:rsidRDefault="00942876" w:rsidP="00510203">
      <w:pPr>
        <w:spacing w:after="0"/>
        <w:rPr>
          <w:rFonts w:cs="Arial"/>
        </w:rPr>
      </w:pPr>
    </w:p>
    <w:p w14:paraId="575CB1A3" w14:textId="77777777" w:rsidR="00942876" w:rsidRDefault="00942876" w:rsidP="00510203">
      <w:pPr>
        <w:spacing w:after="0"/>
        <w:rPr>
          <w:rFonts w:cs="Arial"/>
        </w:rPr>
      </w:pPr>
    </w:p>
    <w:p w14:paraId="1A17A2E4" w14:textId="77777777" w:rsidR="00942876" w:rsidRDefault="00942876" w:rsidP="00510203">
      <w:pPr>
        <w:spacing w:after="0"/>
        <w:rPr>
          <w:rFonts w:cs="Arial"/>
        </w:rPr>
      </w:pPr>
    </w:p>
    <w:p w14:paraId="17D0D527" w14:textId="77777777" w:rsidR="00942876" w:rsidRDefault="00942876" w:rsidP="00510203">
      <w:pPr>
        <w:spacing w:after="0"/>
        <w:rPr>
          <w:rFonts w:cs="Arial"/>
        </w:rPr>
      </w:pPr>
    </w:p>
    <w:p w14:paraId="418E0838" w14:textId="77777777" w:rsidR="00942876" w:rsidRDefault="00942876" w:rsidP="00510203">
      <w:pPr>
        <w:spacing w:after="0"/>
        <w:rPr>
          <w:rFonts w:cs="Arial"/>
        </w:rPr>
      </w:pPr>
    </w:p>
    <w:p w14:paraId="00DE1807" w14:textId="77777777" w:rsidR="00942876" w:rsidRDefault="00942876" w:rsidP="00510203">
      <w:pPr>
        <w:spacing w:after="0"/>
        <w:rPr>
          <w:rFonts w:cs="Arial"/>
        </w:rPr>
      </w:pPr>
    </w:p>
    <w:p w14:paraId="634C6330" w14:textId="77777777" w:rsidR="00942876" w:rsidRDefault="00942876" w:rsidP="00510203">
      <w:pPr>
        <w:spacing w:after="0"/>
        <w:rPr>
          <w:rFonts w:cs="Arial"/>
        </w:rPr>
      </w:pPr>
    </w:p>
    <w:p w14:paraId="04860D72" w14:textId="77777777" w:rsidR="00942876" w:rsidRDefault="00942876" w:rsidP="00510203">
      <w:pPr>
        <w:spacing w:after="0"/>
        <w:rPr>
          <w:rFonts w:cs="Arial"/>
        </w:rPr>
      </w:pPr>
    </w:p>
    <w:p w14:paraId="25BE87A9" w14:textId="77777777" w:rsidR="00942876" w:rsidRDefault="00942876" w:rsidP="00510203">
      <w:pPr>
        <w:spacing w:after="0"/>
        <w:rPr>
          <w:rFonts w:cs="Arial"/>
        </w:rPr>
      </w:pPr>
    </w:p>
    <w:p w14:paraId="19672F8B" w14:textId="77777777" w:rsidR="00942876" w:rsidRDefault="00942876" w:rsidP="00510203">
      <w:pPr>
        <w:spacing w:after="0"/>
        <w:rPr>
          <w:rFonts w:cs="Arial"/>
        </w:rPr>
      </w:pPr>
    </w:p>
    <w:p w14:paraId="2697B679" w14:textId="77777777" w:rsidR="00942876" w:rsidRDefault="00942876" w:rsidP="00510203">
      <w:pPr>
        <w:spacing w:after="0"/>
        <w:rPr>
          <w:rFonts w:cs="Arial"/>
        </w:rPr>
      </w:pPr>
    </w:p>
    <w:p w14:paraId="254004AB" w14:textId="77777777" w:rsidR="00942876" w:rsidRDefault="00942876" w:rsidP="00510203">
      <w:pPr>
        <w:spacing w:after="0"/>
        <w:rPr>
          <w:rFonts w:cs="Arial"/>
        </w:rPr>
      </w:pPr>
    </w:p>
    <w:p w14:paraId="23FFDD41" w14:textId="77777777" w:rsidR="00942876" w:rsidRDefault="00942876" w:rsidP="00510203">
      <w:pPr>
        <w:spacing w:after="0"/>
        <w:rPr>
          <w:rFonts w:cs="Arial"/>
        </w:rPr>
      </w:pPr>
    </w:p>
    <w:p w14:paraId="29D7C4E1" w14:textId="77777777" w:rsidR="00942876" w:rsidRDefault="00942876" w:rsidP="00510203">
      <w:pPr>
        <w:spacing w:after="0"/>
        <w:rPr>
          <w:rFonts w:cs="Arial"/>
        </w:rPr>
      </w:pPr>
    </w:p>
    <w:p w14:paraId="55A8C367" w14:textId="77777777" w:rsidR="00942876" w:rsidRDefault="00942876" w:rsidP="00510203">
      <w:pPr>
        <w:spacing w:after="0"/>
        <w:rPr>
          <w:rFonts w:cs="Arial"/>
        </w:rPr>
      </w:pPr>
    </w:p>
    <w:p w14:paraId="465D3430" w14:textId="77777777" w:rsidR="00942876" w:rsidRDefault="00942876" w:rsidP="00510203">
      <w:pPr>
        <w:spacing w:after="0"/>
        <w:rPr>
          <w:rFonts w:cs="Arial"/>
        </w:rPr>
      </w:pPr>
    </w:p>
    <w:p w14:paraId="00A7F340" w14:textId="77777777" w:rsidR="00942876" w:rsidRDefault="00942876" w:rsidP="00510203">
      <w:pPr>
        <w:spacing w:after="0"/>
        <w:rPr>
          <w:rFonts w:cs="Arial"/>
        </w:rPr>
      </w:pPr>
    </w:p>
    <w:p w14:paraId="462BA19C" w14:textId="77777777" w:rsidR="00942876" w:rsidRDefault="00942876" w:rsidP="00510203">
      <w:pPr>
        <w:spacing w:after="0"/>
        <w:rPr>
          <w:rFonts w:cs="Arial"/>
        </w:rPr>
      </w:pPr>
    </w:p>
    <w:p w14:paraId="12E3C2D4" w14:textId="77777777" w:rsidR="00942876" w:rsidRDefault="00942876" w:rsidP="00510203">
      <w:pPr>
        <w:spacing w:after="0"/>
        <w:rPr>
          <w:rFonts w:cs="Arial"/>
        </w:rPr>
      </w:pPr>
    </w:p>
    <w:p w14:paraId="46B60633" w14:textId="77777777" w:rsidR="00942876" w:rsidRDefault="00942876" w:rsidP="00510203">
      <w:pPr>
        <w:spacing w:after="0"/>
        <w:rPr>
          <w:rFonts w:cs="Arial"/>
        </w:rPr>
      </w:pPr>
    </w:p>
    <w:p w14:paraId="50189B6F" w14:textId="77777777" w:rsidR="00942876" w:rsidRDefault="00942876" w:rsidP="00510203">
      <w:pPr>
        <w:spacing w:after="0"/>
        <w:rPr>
          <w:rFonts w:cs="Arial"/>
        </w:rPr>
      </w:pPr>
    </w:p>
    <w:p w14:paraId="5B0FC10C" w14:textId="77777777" w:rsidR="00942876" w:rsidRDefault="00942876" w:rsidP="00510203">
      <w:pPr>
        <w:spacing w:after="0"/>
        <w:rPr>
          <w:rFonts w:cs="Arial"/>
        </w:rPr>
      </w:pPr>
    </w:p>
    <w:p w14:paraId="066DCD64" w14:textId="77777777" w:rsidR="00942876" w:rsidRDefault="00942876" w:rsidP="00510203">
      <w:pPr>
        <w:spacing w:after="0"/>
        <w:rPr>
          <w:rFonts w:cs="Arial"/>
        </w:rPr>
      </w:pPr>
    </w:p>
    <w:p w14:paraId="3D6D3B9D" w14:textId="77777777" w:rsidR="00942876" w:rsidRDefault="00942876" w:rsidP="00510203">
      <w:pPr>
        <w:spacing w:after="0"/>
        <w:rPr>
          <w:rFonts w:cs="Arial"/>
        </w:rPr>
      </w:pPr>
    </w:p>
    <w:p w14:paraId="2294B80D" w14:textId="77777777" w:rsidR="00942876" w:rsidRDefault="00942876" w:rsidP="00510203">
      <w:pPr>
        <w:spacing w:after="0"/>
        <w:rPr>
          <w:rFonts w:cs="Arial"/>
        </w:rPr>
      </w:pPr>
    </w:p>
    <w:p w14:paraId="66750D99" w14:textId="13F129D9" w:rsidR="00D40856" w:rsidRDefault="00D40856" w:rsidP="00D40856">
      <w:pPr>
        <w:spacing w:after="0"/>
        <w:rPr>
          <w:rFonts w:eastAsia="Times New Roman" w:cs="Arial"/>
          <w:b/>
          <w:lang w:eastAsia="en-GB"/>
        </w:rPr>
      </w:pPr>
      <w:r>
        <w:rPr>
          <w:rFonts w:eastAsia="Times New Roman" w:cs="Arial"/>
          <w:b/>
          <w:lang w:eastAsia="en-GB"/>
        </w:rPr>
        <w:t>3</w:t>
      </w:r>
      <w:r w:rsidRPr="00FB36C0">
        <w:rPr>
          <w:rFonts w:eastAsia="Times New Roman" w:cs="Arial"/>
          <w:b/>
          <w:lang w:eastAsia="en-GB"/>
        </w:rPr>
        <w:t>.</w:t>
      </w:r>
      <w:r>
        <w:rPr>
          <w:rFonts w:eastAsia="Times New Roman" w:cs="Arial"/>
          <w:b/>
          <w:lang w:eastAsia="en-GB"/>
        </w:rPr>
        <w:t>4</w:t>
      </w:r>
      <w:r w:rsidRPr="00FB36C0">
        <w:rPr>
          <w:rFonts w:eastAsia="Times New Roman" w:cs="Arial"/>
          <w:b/>
          <w:lang w:eastAsia="en-GB"/>
        </w:rPr>
        <w:tab/>
      </w:r>
      <w:r w:rsidRPr="00D40856">
        <w:rPr>
          <w:rFonts w:cs="Arial"/>
          <w:b/>
        </w:rPr>
        <w:t>Public Health and Wellbeing</w:t>
      </w:r>
    </w:p>
    <w:p w14:paraId="6E28CFCA" w14:textId="77777777" w:rsidR="00510203" w:rsidRDefault="00510203" w:rsidP="00510203">
      <w:pPr>
        <w:spacing w:after="0"/>
        <w:rPr>
          <w:rFonts w:cs="Arial"/>
          <w:b/>
          <w:u w:val="single"/>
        </w:rPr>
      </w:pPr>
    </w:p>
    <w:tbl>
      <w:tblPr>
        <w:tblW w:w="9862" w:type="dxa"/>
        <w:jc w:val="center"/>
        <w:tblLook w:val="04A0" w:firstRow="1" w:lastRow="0" w:firstColumn="1" w:lastColumn="0" w:noHBand="0" w:noVBand="1"/>
      </w:tblPr>
      <w:tblGrid>
        <w:gridCol w:w="851"/>
        <w:gridCol w:w="3102"/>
        <w:gridCol w:w="1150"/>
        <w:gridCol w:w="1288"/>
        <w:gridCol w:w="1157"/>
        <w:gridCol w:w="1157"/>
        <w:gridCol w:w="1157"/>
      </w:tblGrid>
      <w:tr w:rsidR="00510203" w:rsidRPr="00BA0672" w14:paraId="7E214537" w14:textId="77777777" w:rsidTr="00E118FC">
        <w:trPr>
          <w:trHeight w:val="1056"/>
          <w:jc w:val="center"/>
        </w:trPr>
        <w:tc>
          <w:tcPr>
            <w:tcW w:w="851" w:type="dxa"/>
            <w:tcBorders>
              <w:top w:val="single" w:sz="4" w:space="0" w:color="auto"/>
              <w:left w:val="single" w:sz="4" w:space="0" w:color="auto"/>
              <w:bottom w:val="nil"/>
              <w:right w:val="single" w:sz="4" w:space="0" w:color="auto"/>
            </w:tcBorders>
            <w:shd w:val="clear" w:color="000000" w:fill="D9D9D9"/>
            <w:vAlign w:val="bottom"/>
            <w:hideMark/>
          </w:tcPr>
          <w:p w14:paraId="2EB8791C" w14:textId="77777777" w:rsidR="00510203" w:rsidRPr="00BA0672" w:rsidRDefault="00510203" w:rsidP="00E118FC">
            <w:pPr>
              <w:spacing w:after="0"/>
              <w:jc w:val="center"/>
              <w:rPr>
                <w:rFonts w:eastAsia="Times New Roman" w:cs="Arial"/>
                <w:b/>
                <w:bCs/>
                <w:sz w:val="20"/>
                <w:szCs w:val="20"/>
                <w:lang w:eastAsia="en-GB"/>
              </w:rPr>
            </w:pPr>
            <w:r w:rsidRPr="00BA0672">
              <w:rPr>
                <w:rFonts w:eastAsia="Times New Roman" w:cs="Arial"/>
                <w:b/>
                <w:bCs/>
                <w:sz w:val="20"/>
                <w:szCs w:val="20"/>
                <w:lang w:eastAsia="en-GB"/>
              </w:rPr>
              <w:t>Ref</w:t>
            </w:r>
          </w:p>
        </w:tc>
        <w:tc>
          <w:tcPr>
            <w:tcW w:w="3102" w:type="dxa"/>
            <w:tcBorders>
              <w:top w:val="single" w:sz="4" w:space="0" w:color="auto"/>
              <w:left w:val="nil"/>
              <w:bottom w:val="nil"/>
              <w:right w:val="single" w:sz="4" w:space="0" w:color="auto"/>
            </w:tcBorders>
            <w:shd w:val="clear" w:color="000000" w:fill="D9D9D9"/>
            <w:vAlign w:val="bottom"/>
            <w:hideMark/>
          </w:tcPr>
          <w:p w14:paraId="760B0368" w14:textId="77777777" w:rsidR="00510203" w:rsidRPr="00BA0672" w:rsidRDefault="00510203" w:rsidP="00E118FC">
            <w:pPr>
              <w:spacing w:after="0"/>
              <w:jc w:val="center"/>
              <w:rPr>
                <w:rFonts w:eastAsia="Times New Roman" w:cs="Arial"/>
                <w:b/>
                <w:bCs/>
                <w:sz w:val="20"/>
                <w:szCs w:val="20"/>
                <w:lang w:eastAsia="en-GB"/>
              </w:rPr>
            </w:pPr>
            <w:r w:rsidRPr="00BA0672">
              <w:rPr>
                <w:rFonts w:eastAsia="Times New Roman" w:cs="Arial"/>
                <w:b/>
                <w:bCs/>
                <w:sz w:val="20"/>
                <w:szCs w:val="20"/>
                <w:lang w:eastAsia="en-GB"/>
              </w:rPr>
              <w:t>HEAD OF SERVICE</w:t>
            </w:r>
          </w:p>
        </w:tc>
        <w:tc>
          <w:tcPr>
            <w:tcW w:w="1150" w:type="dxa"/>
            <w:tcBorders>
              <w:top w:val="single" w:sz="4" w:space="0" w:color="auto"/>
              <w:left w:val="nil"/>
              <w:bottom w:val="nil"/>
              <w:right w:val="single" w:sz="4" w:space="0" w:color="auto"/>
            </w:tcBorders>
            <w:shd w:val="clear" w:color="000000" w:fill="D9D9D9"/>
            <w:vAlign w:val="bottom"/>
            <w:hideMark/>
          </w:tcPr>
          <w:p w14:paraId="1F8E9DA0" w14:textId="77777777" w:rsidR="00510203" w:rsidRPr="00BA0672" w:rsidRDefault="00510203" w:rsidP="00E118FC">
            <w:pPr>
              <w:spacing w:after="0"/>
              <w:jc w:val="center"/>
              <w:rPr>
                <w:rFonts w:eastAsia="Times New Roman" w:cs="Arial"/>
                <w:b/>
                <w:bCs/>
                <w:sz w:val="20"/>
                <w:szCs w:val="20"/>
                <w:lang w:eastAsia="en-GB"/>
              </w:rPr>
            </w:pPr>
            <w:r w:rsidRPr="00BA0672">
              <w:rPr>
                <w:rFonts w:eastAsia="Times New Roman" w:cs="Arial"/>
                <w:b/>
                <w:bCs/>
                <w:sz w:val="20"/>
                <w:szCs w:val="20"/>
                <w:lang w:eastAsia="en-GB"/>
              </w:rPr>
              <w:t>Approved Budget</w:t>
            </w:r>
          </w:p>
        </w:tc>
        <w:tc>
          <w:tcPr>
            <w:tcW w:w="1288" w:type="dxa"/>
            <w:tcBorders>
              <w:top w:val="single" w:sz="4" w:space="0" w:color="auto"/>
              <w:left w:val="nil"/>
              <w:bottom w:val="nil"/>
              <w:right w:val="single" w:sz="4" w:space="0" w:color="auto"/>
            </w:tcBorders>
            <w:shd w:val="clear" w:color="000000" w:fill="D9D9D9"/>
            <w:vAlign w:val="bottom"/>
            <w:hideMark/>
          </w:tcPr>
          <w:p w14:paraId="3D41CBE2" w14:textId="77777777" w:rsidR="00510203" w:rsidRPr="00BA0672" w:rsidRDefault="00510203" w:rsidP="00E118FC">
            <w:pPr>
              <w:spacing w:after="0"/>
              <w:jc w:val="center"/>
              <w:rPr>
                <w:rFonts w:eastAsia="Times New Roman" w:cs="Arial"/>
                <w:b/>
                <w:bCs/>
                <w:sz w:val="20"/>
                <w:szCs w:val="20"/>
                <w:lang w:eastAsia="en-GB"/>
              </w:rPr>
            </w:pPr>
            <w:r w:rsidRPr="00BA0672">
              <w:rPr>
                <w:rFonts w:eastAsia="Times New Roman" w:cs="Arial"/>
                <w:b/>
                <w:bCs/>
                <w:sz w:val="20"/>
                <w:szCs w:val="20"/>
                <w:lang w:eastAsia="en-GB"/>
              </w:rPr>
              <w:t>Current Cabinet Forecast Qtr 3</w:t>
            </w:r>
          </w:p>
        </w:tc>
        <w:tc>
          <w:tcPr>
            <w:tcW w:w="1157" w:type="dxa"/>
            <w:tcBorders>
              <w:top w:val="single" w:sz="4" w:space="0" w:color="auto"/>
              <w:left w:val="nil"/>
              <w:bottom w:val="nil"/>
              <w:right w:val="single" w:sz="4" w:space="0" w:color="auto"/>
            </w:tcBorders>
            <w:shd w:val="clear" w:color="000000" w:fill="D9D9D9"/>
            <w:vAlign w:val="bottom"/>
            <w:hideMark/>
          </w:tcPr>
          <w:p w14:paraId="20375EE4" w14:textId="77777777" w:rsidR="00510203" w:rsidRPr="00BA0672" w:rsidRDefault="00510203" w:rsidP="00E118FC">
            <w:pPr>
              <w:spacing w:after="0"/>
              <w:jc w:val="center"/>
              <w:rPr>
                <w:rFonts w:eastAsia="Times New Roman" w:cs="Arial"/>
                <w:b/>
                <w:bCs/>
                <w:sz w:val="20"/>
                <w:szCs w:val="20"/>
                <w:lang w:eastAsia="en-GB"/>
              </w:rPr>
            </w:pPr>
            <w:r w:rsidRPr="00BA0672">
              <w:rPr>
                <w:rFonts w:eastAsia="Times New Roman" w:cs="Arial"/>
                <w:b/>
                <w:bCs/>
                <w:sz w:val="20"/>
                <w:szCs w:val="20"/>
                <w:lang w:eastAsia="en-GB"/>
              </w:rPr>
              <w:t>Current Cabinet Forecast Variance</w:t>
            </w:r>
          </w:p>
        </w:tc>
        <w:tc>
          <w:tcPr>
            <w:tcW w:w="1157" w:type="dxa"/>
            <w:tcBorders>
              <w:top w:val="single" w:sz="4" w:space="0" w:color="auto"/>
              <w:left w:val="nil"/>
              <w:bottom w:val="nil"/>
              <w:right w:val="single" w:sz="4" w:space="0" w:color="auto"/>
            </w:tcBorders>
            <w:shd w:val="clear" w:color="000000" w:fill="D9D9D9"/>
            <w:vAlign w:val="bottom"/>
            <w:hideMark/>
          </w:tcPr>
          <w:p w14:paraId="074016BD" w14:textId="77777777" w:rsidR="00510203" w:rsidRPr="00BA0672" w:rsidRDefault="00510203" w:rsidP="00E118FC">
            <w:pPr>
              <w:spacing w:after="0"/>
              <w:jc w:val="center"/>
              <w:rPr>
                <w:rFonts w:eastAsia="Times New Roman" w:cs="Arial"/>
                <w:b/>
                <w:bCs/>
                <w:sz w:val="20"/>
                <w:szCs w:val="20"/>
                <w:lang w:eastAsia="en-GB"/>
              </w:rPr>
            </w:pPr>
            <w:r w:rsidRPr="00BA0672">
              <w:rPr>
                <w:rFonts w:eastAsia="Times New Roman" w:cs="Arial"/>
                <w:b/>
                <w:bCs/>
                <w:sz w:val="20"/>
                <w:szCs w:val="20"/>
                <w:lang w:eastAsia="en-GB"/>
              </w:rPr>
              <w:t>Previous Period Forecast Variance Qtr 2</w:t>
            </w:r>
          </w:p>
        </w:tc>
        <w:tc>
          <w:tcPr>
            <w:tcW w:w="1157" w:type="dxa"/>
            <w:tcBorders>
              <w:top w:val="single" w:sz="4" w:space="0" w:color="auto"/>
              <w:left w:val="nil"/>
              <w:bottom w:val="nil"/>
              <w:right w:val="single" w:sz="4" w:space="0" w:color="auto"/>
            </w:tcBorders>
            <w:shd w:val="clear" w:color="000000" w:fill="D9D9D9"/>
            <w:vAlign w:val="bottom"/>
            <w:hideMark/>
          </w:tcPr>
          <w:p w14:paraId="40B51632" w14:textId="77777777" w:rsidR="00510203" w:rsidRPr="00BA0672" w:rsidRDefault="00510203" w:rsidP="00E118FC">
            <w:pPr>
              <w:spacing w:after="0"/>
              <w:jc w:val="center"/>
              <w:rPr>
                <w:rFonts w:eastAsia="Times New Roman" w:cs="Arial"/>
                <w:b/>
                <w:bCs/>
                <w:sz w:val="20"/>
                <w:szCs w:val="20"/>
                <w:lang w:eastAsia="en-GB"/>
              </w:rPr>
            </w:pPr>
            <w:r w:rsidRPr="00BA0672">
              <w:rPr>
                <w:rFonts w:eastAsia="Times New Roman" w:cs="Arial"/>
                <w:b/>
                <w:bCs/>
                <w:sz w:val="20"/>
                <w:szCs w:val="20"/>
                <w:lang w:eastAsia="en-GB"/>
              </w:rPr>
              <w:t>Current Qtr 3 Forecast Variance</w:t>
            </w:r>
          </w:p>
        </w:tc>
      </w:tr>
      <w:tr w:rsidR="00510203" w:rsidRPr="00BA0672" w14:paraId="0BCC2F0A" w14:textId="77777777" w:rsidTr="00E118FC">
        <w:trPr>
          <w:trHeight w:val="561"/>
          <w:jc w:val="center"/>
        </w:trPr>
        <w:tc>
          <w:tcPr>
            <w:tcW w:w="851" w:type="dxa"/>
            <w:tcBorders>
              <w:top w:val="nil"/>
              <w:left w:val="single" w:sz="4" w:space="0" w:color="auto"/>
              <w:bottom w:val="single" w:sz="4" w:space="0" w:color="auto"/>
              <w:right w:val="single" w:sz="4" w:space="0" w:color="auto"/>
            </w:tcBorders>
            <w:shd w:val="clear" w:color="000000" w:fill="D9D9D9"/>
            <w:vAlign w:val="bottom"/>
            <w:hideMark/>
          </w:tcPr>
          <w:p w14:paraId="5D695301" w14:textId="77777777" w:rsidR="00510203" w:rsidRPr="00BA0672" w:rsidRDefault="00510203" w:rsidP="00E118FC">
            <w:pPr>
              <w:spacing w:after="0"/>
              <w:jc w:val="center"/>
              <w:rPr>
                <w:rFonts w:eastAsia="Times New Roman" w:cs="Arial"/>
                <w:b/>
                <w:bCs/>
                <w:sz w:val="20"/>
                <w:szCs w:val="20"/>
                <w:lang w:eastAsia="en-GB"/>
              </w:rPr>
            </w:pPr>
            <w:r w:rsidRPr="00BA0672">
              <w:rPr>
                <w:rFonts w:eastAsia="Times New Roman" w:cs="Arial"/>
                <w:b/>
                <w:bCs/>
                <w:sz w:val="20"/>
                <w:szCs w:val="20"/>
                <w:lang w:eastAsia="en-GB"/>
              </w:rPr>
              <w:t> </w:t>
            </w:r>
          </w:p>
        </w:tc>
        <w:tc>
          <w:tcPr>
            <w:tcW w:w="3102" w:type="dxa"/>
            <w:tcBorders>
              <w:top w:val="nil"/>
              <w:left w:val="nil"/>
              <w:bottom w:val="single" w:sz="4" w:space="0" w:color="auto"/>
              <w:right w:val="single" w:sz="4" w:space="0" w:color="auto"/>
            </w:tcBorders>
            <w:shd w:val="clear" w:color="000000" w:fill="D9D9D9"/>
            <w:vAlign w:val="bottom"/>
            <w:hideMark/>
          </w:tcPr>
          <w:p w14:paraId="2CA2294D" w14:textId="77777777" w:rsidR="00510203" w:rsidRPr="00BA0672" w:rsidRDefault="00510203" w:rsidP="00E118FC">
            <w:pPr>
              <w:spacing w:after="0"/>
              <w:jc w:val="center"/>
              <w:rPr>
                <w:rFonts w:eastAsia="Times New Roman" w:cs="Arial"/>
                <w:b/>
                <w:bCs/>
                <w:sz w:val="20"/>
                <w:szCs w:val="20"/>
                <w:lang w:eastAsia="en-GB"/>
              </w:rPr>
            </w:pPr>
            <w:r w:rsidRPr="00BA0672">
              <w:rPr>
                <w:rFonts w:eastAsia="Times New Roman" w:cs="Arial"/>
                <w:b/>
                <w:bCs/>
                <w:sz w:val="20"/>
                <w:szCs w:val="20"/>
                <w:lang w:eastAsia="en-GB"/>
              </w:rPr>
              <w:t> </w:t>
            </w:r>
          </w:p>
        </w:tc>
        <w:tc>
          <w:tcPr>
            <w:tcW w:w="1150" w:type="dxa"/>
            <w:tcBorders>
              <w:top w:val="nil"/>
              <w:left w:val="nil"/>
              <w:bottom w:val="single" w:sz="4" w:space="0" w:color="auto"/>
              <w:right w:val="single" w:sz="4" w:space="0" w:color="auto"/>
            </w:tcBorders>
            <w:shd w:val="clear" w:color="000000" w:fill="D9D9D9"/>
            <w:vAlign w:val="bottom"/>
            <w:hideMark/>
          </w:tcPr>
          <w:p w14:paraId="641743F1" w14:textId="77777777" w:rsidR="00510203" w:rsidRPr="00BA0672" w:rsidRDefault="00510203" w:rsidP="00E118FC">
            <w:pPr>
              <w:spacing w:after="0"/>
              <w:jc w:val="center"/>
              <w:rPr>
                <w:rFonts w:eastAsia="Times New Roman" w:cs="Arial"/>
                <w:b/>
                <w:bCs/>
                <w:sz w:val="20"/>
                <w:szCs w:val="20"/>
                <w:lang w:eastAsia="en-GB"/>
              </w:rPr>
            </w:pPr>
            <w:r w:rsidRPr="00BA0672">
              <w:rPr>
                <w:rFonts w:eastAsia="Times New Roman" w:cs="Arial"/>
                <w:b/>
                <w:bCs/>
                <w:sz w:val="20"/>
                <w:szCs w:val="20"/>
                <w:lang w:eastAsia="en-GB"/>
              </w:rPr>
              <w:t>£m</w:t>
            </w:r>
          </w:p>
        </w:tc>
        <w:tc>
          <w:tcPr>
            <w:tcW w:w="1288" w:type="dxa"/>
            <w:tcBorders>
              <w:top w:val="nil"/>
              <w:left w:val="nil"/>
              <w:bottom w:val="single" w:sz="4" w:space="0" w:color="auto"/>
              <w:right w:val="single" w:sz="4" w:space="0" w:color="auto"/>
            </w:tcBorders>
            <w:shd w:val="clear" w:color="000000" w:fill="D9D9D9"/>
            <w:vAlign w:val="bottom"/>
            <w:hideMark/>
          </w:tcPr>
          <w:p w14:paraId="6B964DA3" w14:textId="77777777" w:rsidR="00510203" w:rsidRPr="00BA0672" w:rsidRDefault="00510203" w:rsidP="00E118FC">
            <w:pPr>
              <w:spacing w:after="0"/>
              <w:jc w:val="center"/>
              <w:rPr>
                <w:rFonts w:eastAsia="Times New Roman" w:cs="Arial"/>
                <w:b/>
                <w:bCs/>
                <w:sz w:val="20"/>
                <w:szCs w:val="20"/>
                <w:lang w:eastAsia="en-GB"/>
              </w:rPr>
            </w:pPr>
            <w:r w:rsidRPr="00BA0672">
              <w:rPr>
                <w:rFonts w:eastAsia="Times New Roman" w:cs="Arial"/>
                <w:b/>
                <w:bCs/>
                <w:sz w:val="20"/>
                <w:szCs w:val="20"/>
                <w:lang w:eastAsia="en-GB"/>
              </w:rPr>
              <w:t>£m</w:t>
            </w:r>
          </w:p>
        </w:tc>
        <w:tc>
          <w:tcPr>
            <w:tcW w:w="1157" w:type="dxa"/>
            <w:tcBorders>
              <w:top w:val="nil"/>
              <w:left w:val="nil"/>
              <w:bottom w:val="single" w:sz="4" w:space="0" w:color="auto"/>
              <w:right w:val="single" w:sz="4" w:space="0" w:color="auto"/>
            </w:tcBorders>
            <w:shd w:val="clear" w:color="000000" w:fill="D9D9D9"/>
            <w:vAlign w:val="bottom"/>
            <w:hideMark/>
          </w:tcPr>
          <w:p w14:paraId="002D654C" w14:textId="77777777" w:rsidR="00510203" w:rsidRPr="00BA0672" w:rsidRDefault="00510203" w:rsidP="00E118FC">
            <w:pPr>
              <w:spacing w:after="0"/>
              <w:jc w:val="center"/>
              <w:rPr>
                <w:rFonts w:eastAsia="Times New Roman" w:cs="Arial"/>
                <w:b/>
                <w:bCs/>
                <w:sz w:val="20"/>
                <w:szCs w:val="20"/>
                <w:lang w:eastAsia="en-GB"/>
              </w:rPr>
            </w:pPr>
            <w:r w:rsidRPr="00BA0672">
              <w:rPr>
                <w:rFonts w:eastAsia="Times New Roman" w:cs="Arial"/>
                <w:b/>
                <w:bCs/>
                <w:sz w:val="20"/>
                <w:szCs w:val="20"/>
                <w:lang w:eastAsia="en-GB"/>
              </w:rPr>
              <w:t>£m</w:t>
            </w:r>
          </w:p>
        </w:tc>
        <w:tc>
          <w:tcPr>
            <w:tcW w:w="1157" w:type="dxa"/>
            <w:tcBorders>
              <w:top w:val="nil"/>
              <w:left w:val="nil"/>
              <w:bottom w:val="single" w:sz="4" w:space="0" w:color="auto"/>
              <w:right w:val="single" w:sz="4" w:space="0" w:color="auto"/>
            </w:tcBorders>
            <w:shd w:val="clear" w:color="000000" w:fill="D9D9D9"/>
            <w:vAlign w:val="bottom"/>
            <w:hideMark/>
          </w:tcPr>
          <w:p w14:paraId="6893CA7B" w14:textId="77777777" w:rsidR="00510203" w:rsidRPr="00BA0672" w:rsidRDefault="00510203" w:rsidP="00E118FC">
            <w:pPr>
              <w:spacing w:after="0"/>
              <w:jc w:val="center"/>
              <w:rPr>
                <w:rFonts w:eastAsia="Times New Roman" w:cs="Arial"/>
                <w:b/>
                <w:bCs/>
                <w:sz w:val="20"/>
                <w:szCs w:val="20"/>
                <w:lang w:eastAsia="en-GB"/>
              </w:rPr>
            </w:pPr>
            <w:r w:rsidRPr="00BA0672">
              <w:rPr>
                <w:rFonts w:eastAsia="Times New Roman" w:cs="Arial"/>
                <w:b/>
                <w:bCs/>
                <w:sz w:val="20"/>
                <w:szCs w:val="20"/>
                <w:lang w:eastAsia="en-GB"/>
              </w:rPr>
              <w:t>£m</w:t>
            </w:r>
          </w:p>
        </w:tc>
        <w:tc>
          <w:tcPr>
            <w:tcW w:w="1157" w:type="dxa"/>
            <w:tcBorders>
              <w:top w:val="nil"/>
              <w:left w:val="nil"/>
              <w:bottom w:val="single" w:sz="4" w:space="0" w:color="auto"/>
              <w:right w:val="single" w:sz="4" w:space="0" w:color="auto"/>
            </w:tcBorders>
            <w:shd w:val="clear" w:color="000000" w:fill="D9D9D9"/>
            <w:vAlign w:val="bottom"/>
            <w:hideMark/>
          </w:tcPr>
          <w:p w14:paraId="08CBC188" w14:textId="77777777" w:rsidR="00510203" w:rsidRPr="00BA0672" w:rsidRDefault="00510203" w:rsidP="00E118FC">
            <w:pPr>
              <w:spacing w:after="0"/>
              <w:jc w:val="center"/>
              <w:rPr>
                <w:rFonts w:eastAsia="Times New Roman" w:cs="Arial"/>
                <w:b/>
                <w:bCs/>
                <w:sz w:val="20"/>
                <w:szCs w:val="20"/>
                <w:lang w:eastAsia="en-GB"/>
              </w:rPr>
            </w:pPr>
            <w:r w:rsidRPr="00BA0672">
              <w:rPr>
                <w:rFonts w:eastAsia="Times New Roman" w:cs="Arial"/>
                <w:b/>
                <w:bCs/>
                <w:sz w:val="20"/>
                <w:szCs w:val="20"/>
                <w:lang w:eastAsia="en-GB"/>
              </w:rPr>
              <w:t>%</w:t>
            </w:r>
          </w:p>
        </w:tc>
      </w:tr>
      <w:tr w:rsidR="00510203" w:rsidRPr="00BA0672" w14:paraId="3B54B764" w14:textId="77777777" w:rsidTr="00E118FC">
        <w:trPr>
          <w:trHeight w:val="561"/>
          <w:jc w:val="center"/>
        </w:trPr>
        <w:tc>
          <w:tcPr>
            <w:tcW w:w="851" w:type="dxa"/>
            <w:tcBorders>
              <w:top w:val="nil"/>
              <w:left w:val="single" w:sz="4" w:space="0" w:color="auto"/>
              <w:bottom w:val="single" w:sz="4" w:space="0" w:color="auto"/>
              <w:right w:val="single" w:sz="4" w:space="0" w:color="auto"/>
            </w:tcBorders>
            <w:shd w:val="clear" w:color="000000" w:fill="FFFFFF"/>
            <w:noWrap/>
            <w:hideMark/>
          </w:tcPr>
          <w:p w14:paraId="333541B0" w14:textId="77777777" w:rsidR="00510203" w:rsidRPr="00BA0672" w:rsidRDefault="00510203" w:rsidP="00E118FC">
            <w:pPr>
              <w:spacing w:after="0"/>
              <w:jc w:val="center"/>
              <w:rPr>
                <w:rFonts w:eastAsia="Times New Roman" w:cs="Arial"/>
                <w:b/>
                <w:bCs/>
                <w:sz w:val="20"/>
                <w:szCs w:val="20"/>
                <w:lang w:eastAsia="en-GB"/>
              </w:rPr>
            </w:pPr>
            <w:r w:rsidRPr="00BA0672">
              <w:rPr>
                <w:rFonts w:eastAsia="Times New Roman" w:cs="Arial"/>
                <w:b/>
                <w:bCs/>
                <w:sz w:val="20"/>
                <w:szCs w:val="20"/>
                <w:lang w:eastAsia="en-GB"/>
              </w:rPr>
              <w:t>3.4.1</w:t>
            </w:r>
          </w:p>
        </w:tc>
        <w:tc>
          <w:tcPr>
            <w:tcW w:w="3102" w:type="dxa"/>
            <w:tcBorders>
              <w:top w:val="nil"/>
              <w:left w:val="nil"/>
              <w:bottom w:val="single" w:sz="4" w:space="0" w:color="auto"/>
              <w:right w:val="single" w:sz="4" w:space="0" w:color="auto"/>
            </w:tcBorders>
            <w:shd w:val="clear" w:color="auto" w:fill="auto"/>
            <w:hideMark/>
          </w:tcPr>
          <w:p w14:paraId="1D25D97A" w14:textId="77777777" w:rsidR="00510203" w:rsidRPr="00BA0672" w:rsidRDefault="00510203" w:rsidP="00942876">
            <w:pPr>
              <w:spacing w:after="0"/>
              <w:jc w:val="left"/>
              <w:rPr>
                <w:rFonts w:eastAsia="Times New Roman" w:cs="Arial"/>
                <w:sz w:val="20"/>
                <w:szCs w:val="20"/>
                <w:lang w:eastAsia="en-GB"/>
              </w:rPr>
            </w:pPr>
            <w:r w:rsidRPr="00BA0672">
              <w:rPr>
                <w:rFonts w:eastAsia="Times New Roman" w:cs="Arial"/>
                <w:sz w:val="20"/>
                <w:szCs w:val="20"/>
                <w:lang w:eastAsia="en-GB"/>
              </w:rPr>
              <w:t>PUBLIC HEALTH &amp; WELLBEING</w:t>
            </w:r>
          </w:p>
        </w:tc>
        <w:tc>
          <w:tcPr>
            <w:tcW w:w="1150" w:type="dxa"/>
            <w:tcBorders>
              <w:top w:val="nil"/>
              <w:left w:val="nil"/>
              <w:bottom w:val="single" w:sz="4" w:space="0" w:color="auto"/>
              <w:right w:val="single" w:sz="4" w:space="0" w:color="auto"/>
            </w:tcBorders>
            <w:shd w:val="clear" w:color="auto" w:fill="auto"/>
            <w:hideMark/>
          </w:tcPr>
          <w:p w14:paraId="5014DD4F"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 xml:space="preserve">-69.709 </w:t>
            </w:r>
          </w:p>
        </w:tc>
        <w:tc>
          <w:tcPr>
            <w:tcW w:w="1288" w:type="dxa"/>
            <w:tcBorders>
              <w:top w:val="nil"/>
              <w:left w:val="nil"/>
              <w:bottom w:val="single" w:sz="4" w:space="0" w:color="auto"/>
              <w:right w:val="single" w:sz="4" w:space="0" w:color="auto"/>
            </w:tcBorders>
            <w:shd w:val="clear" w:color="auto" w:fill="auto"/>
            <w:hideMark/>
          </w:tcPr>
          <w:p w14:paraId="4B7AFE2F"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 xml:space="preserve">-69.844 </w:t>
            </w:r>
          </w:p>
        </w:tc>
        <w:tc>
          <w:tcPr>
            <w:tcW w:w="1157" w:type="dxa"/>
            <w:tcBorders>
              <w:top w:val="nil"/>
              <w:left w:val="nil"/>
              <w:bottom w:val="single" w:sz="4" w:space="0" w:color="auto"/>
              <w:right w:val="single" w:sz="4" w:space="0" w:color="auto"/>
            </w:tcBorders>
            <w:shd w:val="clear" w:color="auto" w:fill="auto"/>
            <w:hideMark/>
          </w:tcPr>
          <w:p w14:paraId="48762CC9"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 xml:space="preserve">-0.135 </w:t>
            </w:r>
          </w:p>
        </w:tc>
        <w:tc>
          <w:tcPr>
            <w:tcW w:w="1157" w:type="dxa"/>
            <w:tcBorders>
              <w:top w:val="nil"/>
              <w:left w:val="nil"/>
              <w:bottom w:val="single" w:sz="4" w:space="0" w:color="auto"/>
              <w:right w:val="single" w:sz="4" w:space="0" w:color="auto"/>
            </w:tcBorders>
            <w:shd w:val="clear" w:color="auto" w:fill="auto"/>
            <w:hideMark/>
          </w:tcPr>
          <w:p w14:paraId="78A10172"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 xml:space="preserve">-0.123 </w:t>
            </w:r>
          </w:p>
        </w:tc>
        <w:tc>
          <w:tcPr>
            <w:tcW w:w="1157" w:type="dxa"/>
            <w:tcBorders>
              <w:top w:val="nil"/>
              <w:left w:val="nil"/>
              <w:bottom w:val="single" w:sz="4" w:space="0" w:color="auto"/>
              <w:right w:val="single" w:sz="4" w:space="0" w:color="auto"/>
            </w:tcBorders>
            <w:shd w:val="clear" w:color="auto" w:fill="auto"/>
            <w:hideMark/>
          </w:tcPr>
          <w:p w14:paraId="53C157DE"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-0.19%</w:t>
            </w:r>
          </w:p>
        </w:tc>
      </w:tr>
      <w:tr w:rsidR="00510203" w:rsidRPr="00BA0672" w14:paraId="3020C1B3" w14:textId="77777777" w:rsidTr="00E118FC">
        <w:trPr>
          <w:trHeight w:val="561"/>
          <w:jc w:val="center"/>
        </w:trPr>
        <w:tc>
          <w:tcPr>
            <w:tcW w:w="851" w:type="dxa"/>
            <w:tcBorders>
              <w:top w:val="nil"/>
              <w:left w:val="single" w:sz="4" w:space="0" w:color="auto"/>
              <w:bottom w:val="single" w:sz="4" w:space="0" w:color="auto"/>
              <w:right w:val="single" w:sz="4" w:space="0" w:color="auto"/>
            </w:tcBorders>
            <w:shd w:val="clear" w:color="auto" w:fill="auto"/>
            <w:noWrap/>
            <w:hideMark/>
          </w:tcPr>
          <w:p w14:paraId="3C0C45B4" w14:textId="77777777" w:rsidR="00510203" w:rsidRPr="00BA0672" w:rsidRDefault="00510203" w:rsidP="00E118FC">
            <w:pPr>
              <w:spacing w:after="0"/>
              <w:jc w:val="center"/>
              <w:rPr>
                <w:rFonts w:eastAsia="Times New Roman" w:cs="Arial"/>
                <w:b/>
                <w:bCs/>
                <w:sz w:val="20"/>
                <w:szCs w:val="20"/>
                <w:lang w:eastAsia="en-GB"/>
              </w:rPr>
            </w:pPr>
            <w:r w:rsidRPr="00BA0672">
              <w:rPr>
                <w:rFonts w:eastAsia="Times New Roman" w:cs="Arial"/>
                <w:b/>
                <w:bCs/>
                <w:sz w:val="20"/>
                <w:szCs w:val="20"/>
                <w:lang w:eastAsia="en-GB"/>
              </w:rPr>
              <w:t>3.4.2</w:t>
            </w:r>
          </w:p>
        </w:tc>
        <w:tc>
          <w:tcPr>
            <w:tcW w:w="3102" w:type="dxa"/>
            <w:tcBorders>
              <w:top w:val="nil"/>
              <w:left w:val="nil"/>
              <w:bottom w:val="single" w:sz="4" w:space="0" w:color="auto"/>
              <w:right w:val="single" w:sz="4" w:space="0" w:color="auto"/>
            </w:tcBorders>
            <w:shd w:val="clear" w:color="auto" w:fill="auto"/>
            <w:hideMark/>
          </w:tcPr>
          <w:p w14:paraId="3DDAE415" w14:textId="77777777" w:rsidR="00510203" w:rsidRPr="00BA0672" w:rsidRDefault="00510203" w:rsidP="00942876">
            <w:pPr>
              <w:spacing w:after="0"/>
              <w:jc w:val="left"/>
              <w:rPr>
                <w:rFonts w:eastAsia="Times New Roman" w:cs="Arial"/>
                <w:sz w:val="20"/>
                <w:szCs w:val="20"/>
                <w:lang w:eastAsia="en-GB"/>
              </w:rPr>
            </w:pPr>
            <w:r w:rsidRPr="00BA0672">
              <w:rPr>
                <w:rFonts w:eastAsia="Times New Roman" w:cs="Arial"/>
                <w:sz w:val="20"/>
                <w:szCs w:val="20"/>
                <w:lang w:eastAsia="en-GB"/>
              </w:rPr>
              <w:t>PATIENT SAFETY &amp; QUALITY IMPROVEMENT</w:t>
            </w:r>
          </w:p>
        </w:tc>
        <w:tc>
          <w:tcPr>
            <w:tcW w:w="1150" w:type="dxa"/>
            <w:tcBorders>
              <w:top w:val="nil"/>
              <w:left w:val="nil"/>
              <w:bottom w:val="single" w:sz="4" w:space="0" w:color="auto"/>
              <w:right w:val="single" w:sz="4" w:space="0" w:color="auto"/>
            </w:tcBorders>
            <w:shd w:val="clear" w:color="auto" w:fill="auto"/>
            <w:hideMark/>
          </w:tcPr>
          <w:p w14:paraId="116CBD5E"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 xml:space="preserve">4.592 </w:t>
            </w:r>
          </w:p>
        </w:tc>
        <w:tc>
          <w:tcPr>
            <w:tcW w:w="1288" w:type="dxa"/>
            <w:tcBorders>
              <w:top w:val="nil"/>
              <w:left w:val="nil"/>
              <w:bottom w:val="single" w:sz="4" w:space="0" w:color="auto"/>
              <w:right w:val="single" w:sz="4" w:space="0" w:color="auto"/>
            </w:tcBorders>
            <w:shd w:val="clear" w:color="auto" w:fill="auto"/>
            <w:hideMark/>
          </w:tcPr>
          <w:p w14:paraId="13A97A6B"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 xml:space="preserve">4.763 </w:t>
            </w:r>
          </w:p>
        </w:tc>
        <w:tc>
          <w:tcPr>
            <w:tcW w:w="1157" w:type="dxa"/>
            <w:tcBorders>
              <w:top w:val="nil"/>
              <w:left w:val="nil"/>
              <w:bottom w:val="single" w:sz="4" w:space="0" w:color="auto"/>
              <w:right w:val="single" w:sz="4" w:space="0" w:color="auto"/>
            </w:tcBorders>
            <w:shd w:val="clear" w:color="auto" w:fill="auto"/>
            <w:hideMark/>
          </w:tcPr>
          <w:p w14:paraId="67CA2858"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 xml:space="preserve">0.171 </w:t>
            </w:r>
          </w:p>
        </w:tc>
        <w:tc>
          <w:tcPr>
            <w:tcW w:w="1157" w:type="dxa"/>
            <w:tcBorders>
              <w:top w:val="nil"/>
              <w:left w:val="nil"/>
              <w:bottom w:val="single" w:sz="4" w:space="0" w:color="auto"/>
              <w:right w:val="single" w:sz="4" w:space="0" w:color="auto"/>
            </w:tcBorders>
            <w:shd w:val="clear" w:color="auto" w:fill="auto"/>
            <w:hideMark/>
          </w:tcPr>
          <w:p w14:paraId="517AB121"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 xml:space="preserve">0.298 </w:t>
            </w:r>
          </w:p>
        </w:tc>
        <w:tc>
          <w:tcPr>
            <w:tcW w:w="1157" w:type="dxa"/>
            <w:tcBorders>
              <w:top w:val="nil"/>
              <w:left w:val="nil"/>
              <w:bottom w:val="single" w:sz="4" w:space="0" w:color="auto"/>
              <w:right w:val="single" w:sz="4" w:space="0" w:color="auto"/>
            </w:tcBorders>
            <w:shd w:val="clear" w:color="auto" w:fill="auto"/>
            <w:hideMark/>
          </w:tcPr>
          <w:p w14:paraId="6AEA0DD0"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3.72%</w:t>
            </w:r>
          </w:p>
        </w:tc>
      </w:tr>
      <w:tr w:rsidR="00510203" w:rsidRPr="00BA0672" w14:paraId="09EC1D1F" w14:textId="77777777" w:rsidTr="00E118FC">
        <w:trPr>
          <w:trHeight w:val="561"/>
          <w:jc w:val="center"/>
        </w:trPr>
        <w:tc>
          <w:tcPr>
            <w:tcW w:w="851" w:type="dxa"/>
            <w:tcBorders>
              <w:top w:val="nil"/>
              <w:left w:val="single" w:sz="4" w:space="0" w:color="auto"/>
              <w:bottom w:val="single" w:sz="4" w:space="0" w:color="auto"/>
              <w:right w:val="single" w:sz="4" w:space="0" w:color="auto"/>
            </w:tcBorders>
            <w:shd w:val="clear" w:color="000000" w:fill="FFFFFF"/>
            <w:noWrap/>
            <w:hideMark/>
          </w:tcPr>
          <w:p w14:paraId="73B3C179" w14:textId="77777777" w:rsidR="00510203" w:rsidRPr="00BA0672" w:rsidRDefault="00510203" w:rsidP="00E118FC">
            <w:pPr>
              <w:spacing w:after="0"/>
              <w:jc w:val="center"/>
              <w:rPr>
                <w:rFonts w:eastAsia="Times New Roman" w:cs="Arial"/>
                <w:b/>
                <w:bCs/>
                <w:sz w:val="20"/>
                <w:szCs w:val="20"/>
                <w:lang w:eastAsia="en-GB"/>
              </w:rPr>
            </w:pPr>
            <w:r w:rsidRPr="00BA0672">
              <w:rPr>
                <w:rFonts w:eastAsia="Times New Roman" w:cs="Arial"/>
                <w:b/>
                <w:bCs/>
                <w:sz w:val="20"/>
                <w:szCs w:val="20"/>
                <w:lang w:eastAsia="en-GB"/>
              </w:rPr>
              <w:t>3.4.3</w:t>
            </w:r>
          </w:p>
        </w:tc>
        <w:tc>
          <w:tcPr>
            <w:tcW w:w="3102" w:type="dxa"/>
            <w:tcBorders>
              <w:top w:val="nil"/>
              <w:left w:val="nil"/>
              <w:bottom w:val="single" w:sz="4" w:space="0" w:color="auto"/>
              <w:right w:val="single" w:sz="4" w:space="0" w:color="auto"/>
            </w:tcBorders>
            <w:shd w:val="clear" w:color="000000" w:fill="FFFFFF"/>
            <w:hideMark/>
          </w:tcPr>
          <w:p w14:paraId="521229CE" w14:textId="77777777" w:rsidR="00510203" w:rsidRPr="00BA0672" w:rsidRDefault="00510203" w:rsidP="00942876">
            <w:pPr>
              <w:spacing w:after="0"/>
              <w:jc w:val="left"/>
              <w:rPr>
                <w:rFonts w:eastAsia="Times New Roman" w:cs="Arial"/>
                <w:sz w:val="20"/>
                <w:szCs w:val="20"/>
                <w:lang w:eastAsia="en-GB"/>
              </w:rPr>
            </w:pPr>
            <w:r w:rsidRPr="00BA0672">
              <w:rPr>
                <w:rFonts w:eastAsia="Times New Roman" w:cs="Arial"/>
                <w:sz w:val="20"/>
                <w:szCs w:val="20"/>
                <w:lang w:eastAsia="en-GB"/>
              </w:rPr>
              <w:t>HEALTH EQUITY WELFARE &amp; PARTNERSHIPS</w:t>
            </w:r>
          </w:p>
        </w:tc>
        <w:tc>
          <w:tcPr>
            <w:tcW w:w="1150" w:type="dxa"/>
            <w:tcBorders>
              <w:top w:val="nil"/>
              <w:left w:val="nil"/>
              <w:bottom w:val="single" w:sz="4" w:space="0" w:color="auto"/>
              <w:right w:val="single" w:sz="4" w:space="0" w:color="auto"/>
            </w:tcBorders>
            <w:shd w:val="clear" w:color="auto" w:fill="auto"/>
            <w:hideMark/>
          </w:tcPr>
          <w:p w14:paraId="1DDA9E94"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 xml:space="preserve">66.754 </w:t>
            </w:r>
          </w:p>
        </w:tc>
        <w:tc>
          <w:tcPr>
            <w:tcW w:w="1288" w:type="dxa"/>
            <w:tcBorders>
              <w:top w:val="nil"/>
              <w:left w:val="nil"/>
              <w:bottom w:val="single" w:sz="4" w:space="0" w:color="auto"/>
              <w:right w:val="single" w:sz="4" w:space="0" w:color="auto"/>
            </w:tcBorders>
            <w:shd w:val="clear" w:color="auto" w:fill="auto"/>
            <w:hideMark/>
          </w:tcPr>
          <w:p w14:paraId="670245F7"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 xml:space="preserve">65.819 </w:t>
            </w:r>
          </w:p>
        </w:tc>
        <w:tc>
          <w:tcPr>
            <w:tcW w:w="1157" w:type="dxa"/>
            <w:tcBorders>
              <w:top w:val="nil"/>
              <w:left w:val="nil"/>
              <w:bottom w:val="single" w:sz="4" w:space="0" w:color="auto"/>
              <w:right w:val="single" w:sz="4" w:space="0" w:color="auto"/>
            </w:tcBorders>
            <w:shd w:val="clear" w:color="auto" w:fill="auto"/>
            <w:hideMark/>
          </w:tcPr>
          <w:p w14:paraId="5D430964"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 xml:space="preserve">-0.935 </w:t>
            </w:r>
          </w:p>
        </w:tc>
        <w:tc>
          <w:tcPr>
            <w:tcW w:w="1157" w:type="dxa"/>
            <w:tcBorders>
              <w:top w:val="nil"/>
              <w:left w:val="nil"/>
              <w:bottom w:val="single" w:sz="4" w:space="0" w:color="auto"/>
              <w:right w:val="single" w:sz="4" w:space="0" w:color="auto"/>
            </w:tcBorders>
            <w:shd w:val="clear" w:color="auto" w:fill="auto"/>
            <w:hideMark/>
          </w:tcPr>
          <w:p w14:paraId="6FCC3A69"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 xml:space="preserve">-0.678 </w:t>
            </w:r>
          </w:p>
        </w:tc>
        <w:tc>
          <w:tcPr>
            <w:tcW w:w="1157" w:type="dxa"/>
            <w:tcBorders>
              <w:top w:val="nil"/>
              <w:left w:val="nil"/>
              <w:bottom w:val="single" w:sz="4" w:space="0" w:color="auto"/>
              <w:right w:val="single" w:sz="4" w:space="0" w:color="auto"/>
            </w:tcBorders>
            <w:shd w:val="clear" w:color="auto" w:fill="auto"/>
            <w:hideMark/>
          </w:tcPr>
          <w:p w14:paraId="08E9BC5E"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-1.40%</w:t>
            </w:r>
          </w:p>
        </w:tc>
      </w:tr>
      <w:tr w:rsidR="00510203" w:rsidRPr="00BA0672" w14:paraId="46AD21D5" w14:textId="77777777" w:rsidTr="00E118FC">
        <w:trPr>
          <w:trHeight w:val="561"/>
          <w:jc w:val="center"/>
        </w:trPr>
        <w:tc>
          <w:tcPr>
            <w:tcW w:w="851" w:type="dxa"/>
            <w:tcBorders>
              <w:top w:val="nil"/>
              <w:left w:val="single" w:sz="4" w:space="0" w:color="auto"/>
              <w:bottom w:val="single" w:sz="4" w:space="0" w:color="auto"/>
              <w:right w:val="single" w:sz="4" w:space="0" w:color="auto"/>
            </w:tcBorders>
            <w:shd w:val="clear" w:color="000000" w:fill="FFFFFF"/>
            <w:noWrap/>
            <w:hideMark/>
          </w:tcPr>
          <w:p w14:paraId="4225DFDD" w14:textId="77777777" w:rsidR="00510203" w:rsidRPr="00BA0672" w:rsidRDefault="00510203" w:rsidP="00E118FC">
            <w:pPr>
              <w:spacing w:after="0"/>
              <w:jc w:val="center"/>
              <w:rPr>
                <w:rFonts w:eastAsia="Times New Roman" w:cs="Arial"/>
                <w:b/>
                <w:bCs/>
                <w:sz w:val="20"/>
                <w:szCs w:val="20"/>
                <w:lang w:eastAsia="en-GB"/>
              </w:rPr>
            </w:pPr>
            <w:r w:rsidRPr="00BA0672">
              <w:rPr>
                <w:rFonts w:eastAsia="Times New Roman" w:cs="Arial"/>
                <w:b/>
                <w:bCs/>
                <w:sz w:val="20"/>
                <w:szCs w:val="20"/>
                <w:lang w:eastAsia="en-GB"/>
              </w:rPr>
              <w:t>3.4.4</w:t>
            </w:r>
          </w:p>
        </w:tc>
        <w:tc>
          <w:tcPr>
            <w:tcW w:w="3102" w:type="dxa"/>
            <w:tcBorders>
              <w:top w:val="nil"/>
              <w:left w:val="nil"/>
              <w:bottom w:val="single" w:sz="4" w:space="0" w:color="auto"/>
              <w:right w:val="single" w:sz="4" w:space="0" w:color="auto"/>
            </w:tcBorders>
            <w:shd w:val="clear" w:color="000000" w:fill="FFFFFF"/>
            <w:hideMark/>
          </w:tcPr>
          <w:p w14:paraId="420A0491" w14:textId="77777777" w:rsidR="00510203" w:rsidRPr="00BA0672" w:rsidRDefault="00510203" w:rsidP="00942876">
            <w:pPr>
              <w:spacing w:after="0"/>
              <w:jc w:val="left"/>
              <w:rPr>
                <w:rFonts w:eastAsia="Times New Roman" w:cs="Arial"/>
                <w:sz w:val="20"/>
                <w:szCs w:val="20"/>
                <w:lang w:eastAsia="en-GB"/>
              </w:rPr>
            </w:pPr>
            <w:r w:rsidRPr="00BA0672">
              <w:rPr>
                <w:rFonts w:eastAsia="Times New Roman" w:cs="Arial"/>
                <w:sz w:val="20"/>
                <w:szCs w:val="20"/>
                <w:lang w:eastAsia="en-GB"/>
              </w:rPr>
              <w:t>CHILDREN AND FAMILY WELLBEING SERVICE</w:t>
            </w:r>
          </w:p>
        </w:tc>
        <w:tc>
          <w:tcPr>
            <w:tcW w:w="1150" w:type="dxa"/>
            <w:tcBorders>
              <w:top w:val="nil"/>
              <w:left w:val="nil"/>
              <w:bottom w:val="single" w:sz="4" w:space="0" w:color="auto"/>
              <w:right w:val="single" w:sz="4" w:space="0" w:color="auto"/>
            </w:tcBorders>
            <w:shd w:val="clear" w:color="auto" w:fill="auto"/>
            <w:hideMark/>
          </w:tcPr>
          <w:p w14:paraId="155DFC01"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 xml:space="preserve">14.696 </w:t>
            </w:r>
          </w:p>
        </w:tc>
        <w:tc>
          <w:tcPr>
            <w:tcW w:w="1288" w:type="dxa"/>
            <w:tcBorders>
              <w:top w:val="nil"/>
              <w:left w:val="nil"/>
              <w:bottom w:val="single" w:sz="4" w:space="0" w:color="auto"/>
              <w:right w:val="single" w:sz="4" w:space="0" w:color="auto"/>
            </w:tcBorders>
            <w:shd w:val="clear" w:color="auto" w:fill="auto"/>
            <w:hideMark/>
          </w:tcPr>
          <w:p w14:paraId="51997739"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 xml:space="preserve">11.931 </w:t>
            </w:r>
          </w:p>
        </w:tc>
        <w:tc>
          <w:tcPr>
            <w:tcW w:w="1157" w:type="dxa"/>
            <w:tcBorders>
              <w:top w:val="nil"/>
              <w:left w:val="nil"/>
              <w:bottom w:val="single" w:sz="4" w:space="0" w:color="auto"/>
              <w:right w:val="single" w:sz="4" w:space="0" w:color="auto"/>
            </w:tcBorders>
            <w:shd w:val="clear" w:color="auto" w:fill="auto"/>
            <w:hideMark/>
          </w:tcPr>
          <w:p w14:paraId="077F9CC7"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 xml:space="preserve">-2.765 </w:t>
            </w:r>
          </w:p>
        </w:tc>
        <w:tc>
          <w:tcPr>
            <w:tcW w:w="1157" w:type="dxa"/>
            <w:tcBorders>
              <w:top w:val="nil"/>
              <w:left w:val="nil"/>
              <w:bottom w:val="single" w:sz="4" w:space="0" w:color="auto"/>
              <w:right w:val="single" w:sz="4" w:space="0" w:color="auto"/>
            </w:tcBorders>
            <w:shd w:val="clear" w:color="auto" w:fill="auto"/>
            <w:hideMark/>
          </w:tcPr>
          <w:p w14:paraId="45AE3451"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 xml:space="preserve">-2.788 </w:t>
            </w:r>
          </w:p>
        </w:tc>
        <w:tc>
          <w:tcPr>
            <w:tcW w:w="1157" w:type="dxa"/>
            <w:tcBorders>
              <w:top w:val="nil"/>
              <w:left w:val="nil"/>
              <w:bottom w:val="single" w:sz="4" w:space="0" w:color="auto"/>
              <w:right w:val="single" w:sz="4" w:space="0" w:color="auto"/>
            </w:tcBorders>
            <w:shd w:val="clear" w:color="auto" w:fill="auto"/>
            <w:hideMark/>
          </w:tcPr>
          <w:p w14:paraId="4719DFD7"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-18.81%</w:t>
            </w:r>
          </w:p>
        </w:tc>
      </w:tr>
      <w:tr w:rsidR="00510203" w:rsidRPr="00BA0672" w14:paraId="2783C8C1" w14:textId="77777777" w:rsidTr="00E118FC">
        <w:trPr>
          <w:trHeight w:val="561"/>
          <w:jc w:val="center"/>
        </w:trPr>
        <w:tc>
          <w:tcPr>
            <w:tcW w:w="851" w:type="dxa"/>
            <w:tcBorders>
              <w:top w:val="nil"/>
              <w:left w:val="single" w:sz="4" w:space="0" w:color="auto"/>
              <w:bottom w:val="single" w:sz="4" w:space="0" w:color="auto"/>
              <w:right w:val="single" w:sz="4" w:space="0" w:color="auto"/>
            </w:tcBorders>
            <w:shd w:val="clear" w:color="000000" w:fill="FFFFFF"/>
            <w:noWrap/>
            <w:hideMark/>
          </w:tcPr>
          <w:p w14:paraId="7AF7C357" w14:textId="77777777" w:rsidR="00510203" w:rsidRPr="00BA0672" w:rsidRDefault="00510203" w:rsidP="00E118FC">
            <w:pPr>
              <w:spacing w:after="0"/>
              <w:jc w:val="center"/>
              <w:rPr>
                <w:rFonts w:eastAsia="Times New Roman" w:cs="Arial"/>
                <w:b/>
                <w:bCs/>
                <w:sz w:val="20"/>
                <w:szCs w:val="20"/>
                <w:lang w:eastAsia="en-GB"/>
              </w:rPr>
            </w:pPr>
            <w:r w:rsidRPr="00BA0672">
              <w:rPr>
                <w:rFonts w:eastAsia="Times New Roman" w:cs="Arial"/>
                <w:b/>
                <w:bCs/>
                <w:sz w:val="20"/>
                <w:szCs w:val="20"/>
                <w:lang w:eastAsia="en-GB"/>
              </w:rPr>
              <w:t>3.4.5</w:t>
            </w:r>
          </w:p>
        </w:tc>
        <w:tc>
          <w:tcPr>
            <w:tcW w:w="3102" w:type="dxa"/>
            <w:tcBorders>
              <w:top w:val="nil"/>
              <w:left w:val="nil"/>
              <w:bottom w:val="single" w:sz="4" w:space="0" w:color="auto"/>
              <w:right w:val="single" w:sz="4" w:space="0" w:color="auto"/>
            </w:tcBorders>
            <w:shd w:val="clear" w:color="000000" w:fill="FFFFFF"/>
            <w:hideMark/>
          </w:tcPr>
          <w:p w14:paraId="0E0DCE14" w14:textId="77777777" w:rsidR="00510203" w:rsidRPr="00BA0672" w:rsidRDefault="00510203" w:rsidP="00942876">
            <w:pPr>
              <w:spacing w:after="0"/>
              <w:jc w:val="left"/>
              <w:rPr>
                <w:rFonts w:eastAsia="Times New Roman" w:cs="Arial"/>
                <w:sz w:val="20"/>
                <w:szCs w:val="20"/>
                <w:lang w:eastAsia="en-GB"/>
              </w:rPr>
            </w:pPr>
            <w:r w:rsidRPr="00BA0672">
              <w:rPr>
                <w:rFonts w:eastAsia="Times New Roman" w:cs="Arial"/>
                <w:sz w:val="20"/>
                <w:szCs w:val="20"/>
                <w:lang w:eastAsia="en-GB"/>
              </w:rPr>
              <w:t>HEALTH, SAFETY &amp; RESILIENCE</w:t>
            </w:r>
          </w:p>
        </w:tc>
        <w:tc>
          <w:tcPr>
            <w:tcW w:w="1150" w:type="dxa"/>
            <w:tcBorders>
              <w:top w:val="nil"/>
              <w:left w:val="nil"/>
              <w:bottom w:val="single" w:sz="4" w:space="0" w:color="auto"/>
              <w:right w:val="single" w:sz="4" w:space="0" w:color="auto"/>
            </w:tcBorders>
            <w:shd w:val="clear" w:color="auto" w:fill="auto"/>
            <w:hideMark/>
          </w:tcPr>
          <w:p w14:paraId="42A79747"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 xml:space="preserve">1.036 </w:t>
            </w:r>
          </w:p>
        </w:tc>
        <w:tc>
          <w:tcPr>
            <w:tcW w:w="1288" w:type="dxa"/>
            <w:tcBorders>
              <w:top w:val="nil"/>
              <w:left w:val="nil"/>
              <w:bottom w:val="single" w:sz="4" w:space="0" w:color="auto"/>
              <w:right w:val="single" w:sz="4" w:space="0" w:color="auto"/>
            </w:tcBorders>
            <w:shd w:val="clear" w:color="auto" w:fill="auto"/>
            <w:hideMark/>
          </w:tcPr>
          <w:p w14:paraId="3263599B"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 xml:space="preserve">0.548 </w:t>
            </w:r>
          </w:p>
        </w:tc>
        <w:tc>
          <w:tcPr>
            <w:tcW w:w="1157" w:type="dxa"/>
            <w:tcBorders>
              <w:top w:val="nil"/>
              <w:left w:val="nil"/>
              <w:bottom w:val="single" w:sz="4" w:space="0" w:color="auto"/>
              <w:right w:val="single" w:sz="4" w:space="0" w:color="auto"/>
            </w:tcBorders>
            <w:shd w:val="clear" w:color="auto" w:fill="auto"/>
            <w:hideMark/>
          </w:tcPr>
          <w:p w14:paraId="28716ED8"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 xml:space="preserve">-0.488 </w:t>
            </w:r>
          </w:p>
        </w:tc>
        <w:tc>
          <w:tcPr>
            <w:tcW w:w="1157" w:type="dxa"/>
            <w:tcBorders>
              <w:top w:val="nil"/>
              <w:left w:val="nil"/>
              <w:bottom w:val="single" w:sz="4" w:space="0" w:color="auto"/>
              <w:right w:val="single" w:sz="4" w:space="0" w:color="auto"/>
            </w:tcBorders>
            <w:shd w:val="clear" w:color="auto" w:fill="auto"/>
            <w:hideMark/>
          </w:tcPr>
          <w:p w14:paraId="22B61EA6"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 xml:space="preserve">-0.400 </w:t>
            </w:r>
          </w:p>
        </w:tc>
        <w:tc>
          <w:tcPr>
            <w:tcW w:w="1157" w:type="dxa"/>
            <w:tcBorders>
              <w:top w:val="nil"/>
              <w:left w:val="nil"/>
              <w:bottom w:val="single" w:sz="4" w:space="0" w:color="auto"/>
              <w:right w:val="single" w:sz="4" w:space="0" w:color="auto"/>
            </w:tcBorders>
            <w:shd w:val="clear" w:color="auto" w:fill="auto"/>
            <w:hideMark/>
          </w:tcPr>
          <w:p w14:paraId="3FC29967"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-47.10%</w:t>
            </w:r>
          </w:p>
        </w:tc>
      </w:tr>
      <w:tr w:rsidR="00510203" w:rsidRPr="00BA0672" w14:paraId="7E535BB1" w14:textId="77777777" w:rsidTr="00E118FC">
        <w:trPr>
          <w:trHeight w:val="561"/>
          <w:jc w:val="center"/>
        </w:trPr>
        <w:tc>
          <w:tcPr>
            <w:tcW w:w="851" w:type="dxa"/>
            <w:tcBorders>
              <w:top w:val="nil"/>
              <w:left w:val="single" w:sz="4" w:space="0" w:color="auto"/>
              <w:bottom w:val="single" w:sz="4" w:space="0" w:color="auto"/>
              <w:right w:val="single" w:sz="4" w:space="0" w:color="auto"/>
            </w:tcBorders>
            <w:shd w:val="clear" w:color="000000" w:fill="FFFFFF"/>
            <w:noWrap/>
            <w:hideMark/>
          </w:tcPr>
          <w:p w14:paraId="05B960C5" w14:textId="77777777" w:rsidR="00510203" w:rsidRPr="00BA0672" w:rsidRDefault="00510203" w:rsidP="00E118FC">
            <w:pPr>
              <w:spacing w:after="0"/>
              <w:jc w:val="center"/>
              <w:rPr>
                <w:rFonts w:eastAsia="Times New Roman" w:cs="Arial"/>
                <w:b/>
                <w:bCs/>
                <w:sz w:val="20"/>
                <w:szCs w:val="20"/>
                <w:lang w:eastAsia="en-GB"/>
              </w:rPr>
            </w:pPr>
            <w:r w:rsidRPr="00BA0672">
              <w:rPr>
                <w:rFonts w:eastAsia="Times New Roman" w:cs="Arial"/>
                <w:b/>
                <w:bCs/>
                <w:sz w:val="20"/>
                <w:szCs w:val="20"/>
                <w:lang w:eastAsia="en-GB"/>
              </w:rPr>
              <w:t>3.4.6</w:t>
            </w:r>
          </w:p>
        </w:tc>
        <w:tc>
          <w:tcPr>
            <w:tcW w:w="3102" w:type="dxa"/>
            <w:tcBorders>
              <w:top w:val="nil"/>
              <w:left w:val="nil"/>
              <w:bottom w:val="single" w:sz="4" w:space="0" w:color="auto"/>
              <w:right w:val="single" w:sz="4" w:space="0" w:color="auto"/>
            </w:tcBorders>
            <w:shd w:val="clear" w:color="000000" w:fill="FFFFFF"/>
            <w:hideMark/>
          </w:tcPr>
          <w:p w14:paraId="33C21213" w14:textId="77777777" w:rsidR="00510203" w:rsidRPr="00BA0672" w:rsidRDefault="00510203" w:rsidP="00942876">
            <w:pPr>
              <w:spacing w:after="0"/>
              <w:jc w:val="left"/>
              <w:rPr>
                <w:rFonts w:eastAsia="Times New Roman" w:cs="Arial"/>
                <w:sz w:val="20"/>
                <w:szCs w:val="20"/>
                <w:lang w:eastAsia="en-GB"/>
              </w:rPr>
            </w:pPr>
            <w:r w:rsidRPr="00BA0672">
              <w:rPr>
                <w:rFonts w:eastAsia="Times New Roman" w:cs="Arial"/>
                <w:sz w:val="20"/>
                <w:szCs w:val="20"/>
                <w:lang w:eastAsia="en-GB"/>
              </w:rPr>
              <w:t>TRADING STANDARDS &amp; SCIENTIFIC SERVICES</w:t>
            </w:r>
          </w:p>
        </w:tc>
        <w:tc>
          <w:tcPr>
            <w:tcW w:w="1150" w:type="dxa"/>
            <w:tcBorders>
              <w:top w:val="nil"/>
              <w:left w:val="nil"/>
              <w:bottom w:val="single" w:sz="4" w:space="0" w:color="auto"/>
              <w:right w:val="single" w:sz="4" w:space="0" w:color="auto"/>
            </w:tcBorders>
            <w:shd w:val="clear" w:color="auto" w:fill="auto"/>
            <w:hideMark/>
          </w:tcPr>
          <w:p w14:paraId="373C38B2"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 xml:space="preserve">2.822 </w:t>
            </w:r>
          </w:p>
        </w:tc>
        <w:tc>
          <w:tcPr>
            <w:tcW w:w="1288" w:type="dxa"/>
            <w:tcBorders>
              <w:top w:val="nil"/>
              <w:left w:val="nil"/>
              <w:bottom w:val="single" w:sz="4" w:space="0" w:color="auto"/>
              <w:right w:val="single" w:sz="4" w:space="0" w:color="auto"/>
            </w:tcBorders>
            <w:shd w:val="clear" w:color="auto" w:fill="auto"/>
            <w:hideMark/>
          </w:tcPr>
          <w:p w14:paraId="1C57DDAE"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 xml:space="preserve">3.142 </w:t>
            </w:r>
          </w:p>
        </w:tc>
        <w:tc>
          <w:tcPr>
            <w:tcW w:w="1157" w:type="dxa"/>
            <w:tcBorders>
              <w:top w:val="nil"/>
              <w:left w:val="nil"/>
              <w:bottom w:val="single" w:sz="4" w:space="0" w:color="auto"/>
              <w:right w:val="single" w:sz="4" w:space="0" w:color="auto"/>
            </w:tcBorders>
            <w:shd w:val="clear" w:color="auto" w:fill="auto"/>
            <w:hideMark/>
          </w:tcPr>
          <w:p w14:paraId="71E02DF4"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 xml:space="preserve">0.320 </w:t>
            </w:r>
          </w:p>
        </w:tc>
        <w:tc>
          <w:tcPr>
            <w:tcW w:w="1157" w:type="dxa"/>
            <w:tcBorders>
              <w:top w:val="nil"/>
              <w:left w:val="nil"/>
              <w:bottom w:val="single" w:sz="4" w:space="0" w:color="auto"/>
              <w:right w:val="single" w:sz="4" w:space="0" w:color="auto"/>
            </w:tcBorders>
            <w:shd w:val="clear" w:color="auto" w:fill="auto"/>
            <w:hideMark/>
          </w:tcPr>
          <w:p w14:paraId="404FF05D"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 xml:space="preserve">0.228 </w:t>
            </w:r>
          </w:p>
        </w:tc>
        <w:tc>
          <w:tcPr>
            <w:tcW w:w="1157" w:type="dxa"/>
            <w:tcBorders>
              <w:top w:val="nil"/>
              <w:left w:val="nil"/>
              <w:bottom w:val="single" w:sz="4" w:space="0" w:color="auto"/>
              <w:right w:val="single" w:sz="4" w:space="0" w:color="auto"/>
            </w:tcBorders>
            <w:shd w:val="clear" w:color="auto" w:fill="auto"/>
            <w:hideMark/>
          </w:tcPr>
          <w:p w14:paraId="55C4EA0A" w14:textId="77777777" w:rsidR="00510203" w:rsidRPr="00BA0672" w:rsidRDefault="00510203" w:rsidP="00E118FC">
            <w:pPr>
              <w:spacing w:after="0"/>
              <w:jc w:val="right"/>
              <w:rPr>
                <w:rFonts w:eastAsia="Times New Roman" w:cs="Arial"/>
                <w:sz w:val="20"/>
                <w:szCs w:val="20"/>
                <w:lang w:eastAsia="en-GB"/>
              </w:rPr>
            </w:pPr>
            <w:r w:rsidRPr="00BA0672">
              <w:rPr>
                <w:rFonts w:eastAsia="Times New Roman" w:cs="Arial"/>
                <w:sz w:val="20"/>
                <w:szCs w:val="20"/>
                <w:lang w:eastAsia="en-GB"/>
              </w:rPr>
              <w:t>11.34%</w:t>
            </w:r>
          </w:p>
        </w:tc>
      </w:tr>
      <w:tr w:rsidR="00510203" w:rsidRPr="00BA0672" w14:paraId="6DE1D511" w14:textId="77777777" w:rsidTr="00E118FC">
        <w:trPr>
          <w:trHeight w:val="561"/>
          <w:jc w:val="center"/>
        </w:trPr>
        <w:tc>
          <w:tcPr>
            <w:tcW w:w="851" w:type="dxa"/>
            <w:tcBorders>
              <w:top w:val="nil"/>
              <w:left w:val="single" w:sz="4" w:space="0" w:color="auto"/>
              <w:bottom w:val="single" w:sz="4" w:space="0" w:color="auto"/>
              <w:right w:val="single" w:sz="4" w:space="0" w:color="auto"/>
            </w:tcBorders>
            <w:shd w:val="clear" w:color="000000" w:fill="D9D9D9"/>
            <w:vAlign w:val="center"/>
            <w:hideMark/>
          </w:tcPr>
          <w:p w14:paraId="5EF1A23D" w14:textId="77777777" w:rsidR="00510203" w:rsidRPr="00BA0672" w:rsidRDefault="00510203" w:rsidP="00E118FC">
            <w:pPr>
              <w:spacing w:after="0"/>
              <w:jc w:val="right"/>
              <w:rPr>
                <w:rFonts w:eastAsia="Times New Roman" w:cs="Arial"/>
                <w:b/>
                <w:bCs/>
                <w:sz w:val="20"/>
                <w:szCs w:val="20"/>
                <w:lang w:eastAsia="en-GB"/>
              </w:rPr>
            </w:pPr>
            <w:r w:rsidRPr="00BA0672">
              <w:rPr>
                <w:rFonts w:eastAsia="Times New Roman" w:cs="Arial"/>
                <w:b/>
                <w:bCs/>
                <w:sz w:val="20"/>
                <w:szCs w:val="20"/>
                <w:lang w:eastAsia="en-GB"/>
              </w:rPr>
              <w:t> </w:t>
            </w:r>
          </w:p>
        </w:tc>
        <w:tc>
          <w:tcPr>
            <w:tcW w:w="3102" w:type="dxa"/>
            <w:tcBorders>
              <w:top w:val="nil"/>
              <w:left w:val="nil"/>
              <w:bottom w:val="single" w:sz="4" w:space="0" w:color="auto"/>
              <w:right w:val="single" w:sz="4" w:space="0" w:color="auto"/>
            </w:tcBorders>
            <w:shd w:val="clear" w:color="000000" w:fill="D9D9D9"/>
            <w:noWrap/>
            <w:vAlign w:val="center"/>
            <w:hideMark/>
          </w:tcPr>
          <w:p w14:paraId="76E9F19F" w14:textId="77777777" w:rsidR="00510203" w:rsidRPr="00BA0672" w:rsidRDefault="00510203" w:rsidP="00942876">
            <w:pPr>
              <w:spacing w:after="0"/>
              <w:jc w:val="left"/>
              <w:rPr>
                <w:rFonts w:eastAsia="Times New Roman" w:cs="Arial"/>
                <w:b/>
                <w:bCs/>
                <w:sz w:val="20"/>
                <w:szCs w:val="20"/>
                <w:lang w:eastAsia="en-GB"/>
              </w:rPr>
            </w:pPr>
            <w:r w:rsidRPr="00BA0672">
              <w:rPr>
                <w:rFonts w:eastAsia="Times New Roman" w:cs="Arial"/>
                <w:b/>
                <w:bCs/>
                <w:sz w:val="20"/>
                <w:szCs w:val="20"/>
                <w:lang w:eastAsia="en-GB"/>
              </w:rPr>
              <w:t>TOTAL - PUBLIC HEALTH</w:t>
            </w:r>
          </w:p>
        </w:tc>
        <w:tc>
          <w:tcPr>
            <w:tcW w:w="1150" w:type="dxa"/>
            <w:tcBorders>
              <w:top w:val="nil"/>
              <w:left w:val="nil"/>
              <w:bottom w:val="single" w:sz="4" w:space="0" w:color="auto"/>
              <w:right w:val="single" w:sz="4" w:space="0" w:color="auto"/>
            </w:tcBorders>
            <w:shd w:val="clear" w:color="000000" w:fill="D9D9D9"/>
            <w:vAlign w:val="center"/>
            <w:hideMark/>
          </w:tcPr>
          <w:p w14:paraId="07E75D72" w14:textId="77777777" w:rsidR="00510203" w:rsidRPr="00BA0672" w:rsidRDefault="00510203" w:rsidP="00E118FC">
            <w:pPr>
              <w:spacing w:after="0"/>
              <w:jc w:val="right"/>
              <w:rPr>
                <w:rFonts w:eastAsia="Times New Roman" w:cs="Arial"/>
                <w:b/>
                <w:bCs/>
                <w:sz w:val="20"/>
                <w:szCs w:val="20"/>
                <w:lang w:eastAsia="en-GB"/>
              </w:rPr>
            </w:pPr>
            <w:r w:rsidRPr="00BA0672">
              <w:rPr>
                <w:rFonts w:eastAsia="Times New Roman" w:cs="Arial"/>
                <w:b/>
                <w:bCs/>
                <w:sz w:val="20"/>
                <w:szCs w:val="20"/>
                <w:lang w:eastAsia="en-GB"/>
              </w:rPr>
              <w:t xml:space="preserve">20.191 </w:t>
            </w:r>
          </w:p>
        </w:tc>
        <w:tc>
          <w:tcPr>
            <w:tcW w:w="1288" w:type="dxa"/>
            <w:tcBorders>
              <w:top w:val="nil"/>
              <w:left w:val="nil"/>
              <w:bottom w:val="single" w:sz="4" w:space="0" w:color="auto"/>
              <w:right w:val="single" w:sz="4" w:space="0" w:color="auto"/>
            </w:tcBorders>
            <w:shd w:val="clear" w:color="000000" w:fill="D9D9D9"/>
            <w:vAlign w:val="center"/>
            <w:hideMark/>
          </w:tcPr>
          <w:p w14:paraId="51F89B7B" w14:textId="77777777" w:rsidR="00510203" w:rsidRPr="00BA0672" w:rsidRDefault="00510203" w:rsidP="00E118FC">
            <w:pPr>
              <w:spacing w:after="0"/>
              <w:jc w:val="right"/>
              <w:rPr>
                <w:rFonts w:eastAsia="Times New Roman" w:cs="Arial"/>
                <w:b/>
                <w:bCs/>
                <w:sz w:val="20"/>
                <w:szCs w:val="20"/>
                <w:lang w:eastAsia="en-GB"/>
              </w:rPr>
            </w:pPr>
            <w:r w:rsidRPr="00BA0672">
              <w:rPr>
                <w:rFonts w:eastAsia="Times New Roman" w:cs="Arial"/>
                <w:b/>
                <w:bCs/>
                <w:sz w:val="20"/>
                <w:szCs w:val="20"/>
                <w:lang w:eastAsia="en-GB"/>
              </w:rPr>
              <w:t xml:space="preserve">16.359 </w:t>
            </w:r>
          </w:p>
        </w:tc>
        <w:tc>
          <w:tcPr>
            <w:tcW w:w="1157" w:type="dxa"/>
            <w:tcBorders>
              <w:top w:val="nil"/>
              <w:left w:val="nil"/>
              <w:bottom w:val="single" w:sz="4" w:space="0" w:color="auto"/>
              <w:right w:val="single" w:sz="4" w:space="0" w:color="auto"/>
            </w:tcBorders>
            <w:shd w:val="clear" w:color="000000" w:fill="D9D9D9"/>
            <w:vAlign w:val="center"/>
            <w:hideMark/>
          </w:tcPr>
          <w:p w14:paraId="497198F2" w14:textId="77777777" w:rsidR="00510203" w:rsidRPr="00BA0672" w:rsidRDefault="00510203" w:rsidP="00E118FC">
            <w:pPr>
              <w:spacing w:after="0"/>
              <w:jc w:val="right"/>
              <w:rPr>
                <w:rFonts w:eastAsia="Times New Roman" w:cs="Arial"/>
                <w:b/>
                <w:bCs/>
                <w:sz w:val="20"/>
                <w:szCs w:val="20"/>
                <w:lang w:eastAsia="en-GB"/>
              </w:rPr>
            </w:pPr>
            <w:r w:rsidRPr="00BA0672">
              <w:rPr>
                <w:rFonts w:eastAsia="Times New Roman" w:cs="Arial"/>
                <w:b/>
                <w:bCs/>
                <w:sz w:val="20"/>
                <w:szCs w:val="20"/>
                <w:lang w:eastAsia="en-GB"/>
              </w:rPr>
              <w:t xml:space="preserve">-3.832 </w:t>
            </w:r>
          </w:p>
        </w:tc>
        <w:tc>
          <w:tcPr>
            <w:tcW w:w="1157" w:type="dxa"/>
            <w:tcBorders>
              <w:top w:val="nil"/>
              <w:left w:val="nil"/>
              <w:bottom w:val="single" w:sz="4" w:space="0" w:color="auto"/>
              <w:right w:val="single" w:sz="4" w:space="0" w:color="auto"/>
            </w:tcBorders>
            <w:shd w:val="clear" w:color="000000" w:fill="D9D9D9"/>
            <w:vAlign w:val="center"/>
            <w:hideMark/>
          </w:tcPr>
          <w:p w14:paraId="26055EE5" w14:textId="77777777" w:rsidR="00510203" w:rsidRPr="00BA0672" w:rsidRDefault="00510203" w:rsidP="00E118FC">
            <w:pPr>
              <w:spacing w:after="0"/>
              <w:jc w:val="right"/>
              <w:rPr>
                <w:rFonts w:eastAsia="Times New Roman" w:cs="Arial"/>
                <w:b/>
                <w:bCs/>
                <w:sz w:val="20"/>
                <w:szCs w:val="20"/>
                <w:lang w:eastAsia="en-GB"/>
              </w:rPr>
            </w:pPr>
            <w:r w:rsidRPr="00BA0672">
              <w:rPr>
                <w:rFonts w:eastAsia="Times New Roman" w:cs="Arial"/>
                <w:b/>
                <w:bCs/>
                <w:sz w:val="20"/>
                <w:szCs w:val="20"/>
                <w:lang w:eastAsia="en-GB"/>
              </w:rPr>
              <w:t xml:space="preserve">-3.463 </w:t>
            </w:r>
          </w:p>
        </w:tc>
        <w:tc>
          <w:tcPr>
            <w:tcW w:w="1157" w:type="dxa"/>
            <w:tcBorders>
              <w:top w:val="nil"/>
              <w:left w:val="nil"/>
              <w:bottom w:val="single" w:sz="4" w:space="0" w:color="auto"/>
              <w:right w:val="single" w:sz="4" w:space="0" w:color="auto"/>
            </w:tcBorders>
            <w:shd w:val="clear" w:color="000000" w:fill="D9D9D9"/>
            <w:vAlign w:val="center"/>
            <w:hideMark/>
          </w:tcPr>
          <w:p w14:paraId="37164F02" w14:textId="77777777" w:rsidR="00510203" w:rsidRPr="00BA0672" w:rsidRDefault="00510203" w:rsidP="00E118FC">
            <w:pPr>
              <w:spacing w:after="0"/>
              <w:jc w:val="right"/>
              <w:rPr>
                <w:rFonts w:eastAsia="Times New Roman" w:cs="Arial"/>
                <w:b/>
                <w:bCs/>
                <w:sz w:val="20"/>
                <w:szCs w:val="20"/>
                <w:lang w:eastAsia="en-GB"/>
              </w:rPr>
            </w:pPr>
            <w:r w:rsidRPr="00BA0672">
              <w:rPr>
                <w:rFonts w:eastAsia="Times New Roman" w:cs="Arial"/>
                <w:b/>
                <w:bCs/>
                <w:sz w:val="20"/>
                <w:szCs w:val="20"/>
                <w:lang w:eastAsia="en-GB"/>
              </w:rPr>
              <w:t>-18.98%</w:t>
            </w:r>
          </w:p>
        </w:tc>
      </w:tr>
    </w:tbl>
    <w:p w14:paraId="0BB7E91C" w14:textId="77777777" w:rsidR="00510203" w:rsidRDefault="00510203" w:rsidP="00510203">
      <w:pPr>
        <w:spacing w:after="0"/>
        <w:rPr>
          <w:rFonts w:cs="Arial"/>
          <w:b/>
          <w:u w:val="single"/>
        </w:rPr>
      </w:pPr>
    </w:p>
    <w:p w14:paraId="29769B6F" w14:textId="77777777" w:rsidR="00510203" w:rsidRDefault="00510203" w:rsidP="00510203">
      <w:pPr>
        <w:spacing w:after="0"/>
        <w:rPr>
          <w:rFonts w:cs="Arial"/>
        </w:rPr>
      </w:pPr>
      <w:r>
        <w:rPr>
          <w:rFonts w:cs="Arial"/>
        </w:rPr>
        <w:t>Public Health and Wellbeing is forecast to under</w:t>
      </w:r>
      <w:r w:rsidRPr="005C6DB7">
        <w:rPr>
          <w:rFonts w:cs="Arial"/>
        </w:rPr>
        <w:t>spend by £</w:t>
      </w:r>
      <w:r>
        <w:rPr>
          <w:rFonts w:cs="Arial"/>
        </w:rPr>
        <w:t xml:space="preserve">3.832m. The forecast has improved by £0.369m compared to Quarter 2 figures. </w:t>
      </w:r>
    </w:p>
    <w:p w14:paraId="4635B702" w14:textId="77777777" w:rsidR="00510203" w:rsidRDefault="00510203" w:rsidP="00510203">
      <w:pPr>
        <w:spacing w:after="0"/>
        <w:rPr>
          <w:rFonts w:cs="Arial"/>
        </w:rPr>
      </w:pPr>
    </w:p>
    <w:p w14:paraId="15BA9EB9" w14:textId="39F9F4E6" w:rsidR="00510203" w:rsidRDefault="00510203" w:rsidP="00510203">
      <w:pPr>
        <w:spacing w:after="0"/>
        <w:rPr>
          <w:rFonts w:cs="Arial"/>
        </w:rPr>
      </w:pPr>
      <w:r w:rsidRPr="00713B9C">
        <w:rPr>
          <w:rFonts w:cs="Arial"/>
        </w:rPr>
        <w:t>Public Health and Wellbeing is for</w:t>
      </w:r>
      <w:r w:rsidR="000B50CA">
        <w:rPr>
          <w:rFonts w:cs="Arial"/>
        </w:rPr>
        <w:t>ecasting to underspend by £0.135</w:t>
      </w:r>
      <w:r w:rsidRPr="00713B9C">
        <w:rPr>
          <w:rFonts w:cs="Arial"/>
        </w:rPr>
        <w:t xml:space="preserve">m as a result of staff vacancies. </w:t>
      </w:r>
    </w:p>
    <w:p w14:paraId="3367CE43" w14:textId="77777777" w:rsidR="00510203" w:rsidRDefault="00510203" w:rsidP="00510203">
      <w:pPr>
        <w:spacing w:after="0"/>
        <w:rPr>
          <w:rFonts w:cs="Arial"/>
        </w:rPr>
      </w:pPr>
    </w:p>
    <w:p w14:paraId="3060BCE1" w14:textId="77777777" w:rsidR="00510203" w:rsidRDefault="00510203" w:rsidP="00510203">
      <w:pPr>
        <w:spacing w:after="0"/>
        <w:rPr>
          <w:rFonts w:cs="Arial"/>
        </w:rPr>
      </w:pPr>
      <w:r w:rsidRPr="00713B9C">
        <w:rPr>
          <w:rFonts w:cs="Arial"/>
        </w:rPr>
        <w:t>Patient Safety &amp; Quality Improvement is foreca</w:t>
      </w:r>
      <w:r>
        <w:rPr>
          <w:rFonts w:cs="Arial"/>
        </w:rPr>
        <w:t xml:space="preserve">sting to overspend by £0.171m, </w:t>
      </w:r>
      <w:r w:rsidRPr="00713B9C">
        <w:rPr>
          <w:rFonts w:cs="Arial"/>
        </w:rPr>
        <w:t>predominantly as a result of additional budgetary pressure on the staffing budget through the use of Agency Staff.</w:t>
      </w:r>
    </w:p>
    <w:p w14:paraId="0A3AC3BB" w14:textId="77777777" w:rsidR="00510203" w:rsidRDefault="00510203" w:rsidP="00510203">
      <w:pPr>
        <w:spacing w:after="0"/>
        <w:rPr>
          <w:rFonts w:cs="Arial"/>
        </w:rPr>
      </w:pPr>
    </w:p>
    <w:p w14:paraId="0B73950F" w14:textId="1C2FAFEF" w:rsidR="00510203" w:rsidRDefault="00510203" w:rsidP="00510203">
      <w:pPr>
        <w:spacing w:after="0"/>
        <w:rPr>
          <w:rFonts w:cs="Arial"/>
        </w:rPr>
      </w:pPr>
      <w:r w:rsidRPr="00713B9C">
        <w:rPr>
          <w:rFonts w:cs="Arial"/>
        </w:rPr>
        <w:t xml:space="preserve">Health Equity, Welfare &amp; Partnerships </w:t>
      </w:r>
      <w:r>
        <w:rPr>
          <w:rFonts w:cs="Arial"/>
        </w:rPr>
        <w:t xml:space="preserve">is forecasting an improved position by £0.257m compared to Quarter 2. The </w:t>
      </w:r>
      <w:r w:rsidRPr="00713B9C">
        <w:rPr>
          <w:rFonts w:cs="Arial"/>
        </w:rPr>
        <w:t>forecast</w:t>
      </w:r>
      <w:r>
        <w:rPr>
          <w:rFonts w:cs="Arial"/>
        </w:rPr>
        <w:t xml:space="preserve"> </w:t>
      </w:r>
      <w:r w:rsidRPr="00713B9C">
        <w:rPr>
          <w:rFonts w:cs="Arial"/>
        </w:rPr>
        <w:t>underspend of £0.</w:t>
      </w:r>
      <w:r>
        <w:rPr>
          <w:rFonts w:cs="Arial"/>
        </w:rPr>
        <w:t>935</w:t>
      </w:r>
      <w:r w:rsidR="000B50CA">
        <w:rPr>
          <w:rFonts w:cs="Arial"/>
        </w:rPr>
        <w:t>m relates</w:t>
      </w:r>
      <w:r w:rsidRPr="00713B9C">
        <w:rPr>
          <w:rFonts w:cs="Arial"/>
        </w:rPr>
        <w:t xml:space="preserve"> to contracts and staffing underspends. </w:t>
      </w:r>
    </w:p>
    <w:p w14:paraId="6C2A15CC" w14:textId="77777777" w:rsidR="00510203" w:rsidRDefault="00510203" w:rsidP="00510203">
      <w:pPr>
        <w:spacing w:after="0"/>
        <w:rPr>
          <w:rFonts w:cs="Arial"/>
        </w:rPr>
      </w:pPr>
    </w:p>
    <w:p w14:paraId="2593198A" w14:textId="18B11717" w:rsidR="00510203" w:rsidRPr="00713B9C" w:rsidRDefault="00510203" w:rsidP="00510203">
      <w:pPr>
        <w:spacing w:after="0"/>
        <w:rPr>
          <w:rFonts w:cs="Arial"/>
        </w:rPr>
      </w:pPr>
      <w:r w:rsidRPr="00561D31">
        <w:rPr>
          <w:rFonts w:cs="Arial"/>
        </w:rPr>
        <w:t>Wellbeing, Prevention &amp; Early Help is</w:t>
      </w:r>
      <w:r>
        <w:rPr>
          <w:rFonts w:cs="Arial"/>
        </w:rPr>
        <w:t xml:space="preserve"> forecast to underspend by £2.765</w:t>
      </w:r>
      <w:r w:rsidRPr="00561D31">
        <w:rPr>
          <w:rFonts w:cs="Arial"/>
        </w:rPr>
        <w:t xml:space="preserve">m, </w:t>
      </w:r>
      <w:r>
        <w:rPr>
          <w:rFonts w:cs="Arial"/>
        </w:rPr>
        <w:t>which has not significantly changed since</w:t>
      </w:r>
      <w:r w:rsidR="000B50CA">
        <w:rPr>
          <w:rFonts w:cs="Arial"/>
        </w:rPr>
        <w:t xml:space="preserve"> Quarter 2, which relates</w:t>
      </w:r>
      <w:r w:rsidRPr="00561D31">
        <w:rPr>
          <w:rFonts w:cs="Arial"/>
        </w:rPr>
        <w:t xml:space="preserve"> to staffing vacancies and underspends on operational costs.</w:t>
      </w:r>
    </w:p>
    <w:p w14:paraId="1747824D" w14:textId="77777777" w:rsidR="00510203" w:rsidRPr="00713B9C" w:rsidRDefault="00510203" w:rsidP="00510203">
      <w:pPr>
        <w:spacing w:after="0"/>
        <w:rPr>
          <w:rFonts w:cs="Arial"/>
        </w:rPr>
      </w:pPr>
    </w:p>
    <w:p w14:paraId="2D5E7C2C" w14:textId="77777777" w:rsidR="00510203" w:rsidRDefault="00510203" w:rsidP="00510203">
      <w:pPr>
        <w:spacing w:after="0"/>
        <w:rPr>
          <w:rFonts w:cs="Arial"/>
        </w:rPr>
      </w:pPr>
      <w:r>
        <w:rPr>
          <w:rFonts w:cs="Arial"/>
        </w:rPr>
        <w:t xml:space="preserve">Health, Safety and Resilience is forecast to underspend by £0.488m which is a slight improvement of £0.88m compared to Quarter 2. The small increase is </w:t>
      </w:r>
      <w:r w:rsidRPr="00561D31">
        <w:rPr>
          <w:rFonts w:cs="Arial"/>
        </w:rPr>
        <w:t>due to additional recovery of income and further underspends on operational costs</w:t>
      </w:r>
      <w:r>
        <w:rPr>
          <w:rFonts w:cs="Arial"/>
        </w:rPr>
        <w:t xml:space="preserve">. </w:t>
      </w:r>
    </w:p>
    <w:p w14:paraId="1CCE604E" w14:textId="77777777" w:rsidR="00510203" w:rsidRDefault="00510203" w:rsidP="00510203">
      <w:pPr>
        <w:spacing w:after="0"/>
        <w:rPr>
          <w:rFonts w:cs="Arial"/>
        </w:rPr>
      </w:pPr>
    </w:p>
    <w:p w14:paraId="34514C48" w14:textId="77777777" w:rsidR="00510203" w:rsidRDefault="00510203" w:rsidP="00510203">
      <w:pPr>
        <w:spacing w:after="0"/>
        <w:rPr>
          <w:rFonts w:cs="Arial"/>
        </w:rPr>
      </w:pPr>
      <w:r w:rsidRPr="00561D31">
        <w:rPr>
          <w:rFonts w:cs="Arial"/>
        </w:rPr>
        <w:t>Trading S</w:t>
      </w:r>
      <w:r>
        <w:rPr>
          <w:rFonts w:cs="Arial"/>
        </w:rPr>
        <w:t>tandards and Scientific Service</w:t>
      </w:r>
      <w:r w:rsidRPr="00561D31">
        <w:rPr>
          <w:rFonts w:cs="Arial"/>
        </w:rPr>
        <w:t xml:space="preserve"> is</w:t>
      </w:r>
      <w:r>
        <w:rPr>
          <w:rFonts w:cs="Arial"/>
        </w:rPr>
        <w:t xml:space="preserve"> </w:t>
      </w:r>
      <w:r w:rsidRPr="00561D31">
        <w:rPr>
          <w:rFonts w:cs="Arial"/>
        </w:rPr>
        <w:t xml:space="preserve">forecasting </w:t>
      </w:r>
      <w:r>
        <w:rPr>
          <w:rFonts w:cs="Arial"/>
        </w:rPr>
        <w:t xml:space="preserve">an overspend of £0.320m which is a deterioration of £0.092m compared to Quarter 2. The service is overspent mainly due to a shortfall in grants. </w:t>
      </w:r>
    </w:p>
    <w:p w14:paraId="2DE8259F" w14:textId="77777777" w:rsidR="00510203" w:rsidRDefault="00510203" w:rsidP="00510203">
      <w:pPr>
        <w:spacing w:after="0"/>
        <w:rPr>
          <w:rFonts w:cs="Arial"/>
        </w:rPr>
      </w:pPr>
    </w:p>
    <w:p w14:paraId="3DF818D5" w14:textId="77777777" w:rsidR="00510203" w:rsidRDefault="00510203" w:rsidP="00510203">
      <w:pPr>
        <w:spacing w:after="0"/>
        <w:rPr>
          <w:rFonts w:cs="Arial"/>
        </w:rPr>
      </w:pPr>
    </w:p>
    <w:p w14:paraId="71DD7593" w14:textId="77777777" w:rsidR="00510203" w:rsidRDefault="00510203" w:rsidP="00510203">
      <w:pPr>
        <w:spacing w:after="0"/>
        <w:rPr>
          <w:rFonts w:cs="Arial"/>
        </w:rPr>
      </w:pPr>
    </w:p>
    <w:p w14:paraId="25DF2853" w14:textId="77777777" w:rsidR="00D40856" w:rsidRDefault="00D40856" w:rsidP="00510203">
      <w:pPr>
        <w:spacing w:after="0"/>
        <w:rPr>
          <w:rFonts w:cs="Arial"/>
        </w:rPr>
      </w:pPr>
    </w:p>
    <w:p w14:paraId="2438B81B" w14:textId="0E4BFAF0" w:rsidR="00510203" w:rsidRPr="00D40856" w:rsidRDefault="00D40856" w:rsidP="00510203">
      <w:pPr>
        <w:spacing w:after="0"/>
        <w:rPr>
          <w:rFonts w:eastAsia="Times New Roman" w:cs="Arial"/>
          <w:b/>
          <w:lang w:eastAsia="en-GB"/>
        </w:rPr>
      </w:pPr>
      <w:r>
        <w:rPr>
          <w:rFonts w:eastAsia="Times New Roman" w:cs="Arial"/>
          <w:b/>
          <w:lang w:eastAsia="en-GB"/>
        </w:rPr>
        <w:t>3</w:t>
      </w:r>
      <w:r w:rsidRPr="00FB36C0">
        <w:rPr>
          <w:rFonts w:eastAsia="Times New Roman" w:cs="Arial"/>
          <w:b/>
          <w:lang w:eastAsia="en-GB"/>
        </w:rPr>
        <w:t>.</w:t>
      </w:r>
      <w:r>
        <w:rPr>
          <w:rFonts w:eastAsia="Times New Roman" w:cs="Arial"/>
          <w:b/>
          <w:lang w:eastAsia="en-GB"/>
        </w:rPr>
        <w:t>5</w:t>
      </w:r>
      <w:r w:rsidRPr="00FB36C0">
        <w:rPr>
          <w:rFonts w:eastAsia="Times New Roman" w:cs="Arial"/>
          <w:b/>
          <w:lang w:eastAsia="en-GB"/>
        </w:rPr>
        <w:tab/>
      </w:r>
      <w:r w:rsidRPr="00D40856">
        <w:rPr>
          <w:rFonts w:cs="Arial"/>
          <w:b/>
        </w:rPr>
        <w:t>De</w:t>
      </w:r>
      <w:r>
        <w:rPr>
          <w:rFonts w:cs="Arial"/>
          <w:b/>
        </w:rPr>
        <w:t>velopment and Corporate Services</w:t>
      </w:r>
    </w:p>
    <w:p w14:paraId="2EFBACF1" w14:textId="77777777" w:rsidR="00510203" w:rsidRDefault="00510203" w:rsidP="00510203">
      <w:pPr>
        <w:spacing w:after="0"/>
        <w:rPr>
          <w:rFonts w:cs="Arial"/>
          <w:b/>
          <w:u w:val="single"/>
        </w:rPr>
      </w:pPr>
    </w:p>
    <w:tbl>
      <w:tblPr>
        <w:tblW w:w="10110" w:type="dxa"/>
        <w:tblInd w:w="-723" w:type="dxa"/>
        <w:tblLook w:val="04A0" w:firstRow="1" w:lastRow="0" w:firstColumn="1" w:lastColumn="0" w:noHBand="0" w:noVBand="1"/>
      </w:tblPr>
      <w:tblGrid>
        <w:gridCol w:w="774"/>
        <w:gridCol w:w="3063"/>
        <w:gridCol w:w="1150"/>
        <w:gridCol w:w="1401"/>
        <w:gridCol w:w="1134"/>
        <w:gridCol w:w="1276"/>
        <w:gridCol w:w="1312"/>
      </w:tblGrid>
      <w:tr w:rsidR="00510203" w:rsidRPr="001C1000" w14:paraId="322AECE8" w14:textId="77777777" w:rsidTr="00E118FC">
        <w:trPr>
          <w:trHeight w:val="1493"/>
        </w:trPr>
        <w:tc>
          <w:tcPr>
            <w:tcW w:w="774" w:type="dxa"/>
            <w:tcBorders>
              <w:top w:val="single" w:sz="4" w:space="0" w:color="auto"/>
              <w:left w:val="single" w:sz="4" w:space="0" w:color="auto"/>
              <w:bottom w:val="nil"/>
              <w:right w:val="single" w:sz="4" w:space="0" w:color="auto"/>
            </w:tcBorders>
            <w:shd w:val="clear" w:color="000000" w:fill="D9D9D9"/>
            <w:vAlign w:val="bottom"/>
            <w:hideMark/>
          </w:tcPr>
          <w:p w14:paraId="082657D2"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Ref</w:t>
            </w:r>
          </w:p>
        </w:tc>
        <w:tc>
          <w:tcPr>
            <w:tcW w:w="3063" w:type="dxa"/>
            <w:tcBorders>
              <w:top w:val="single" w:sz="4" w:space="0" w:color="auto"/>
              <w:left w:val="nil"/>
              <w:bottom w:val="nil"/>
              <w:right w:val="single" w:sz="4" w:space="0" w:color="auto"/>
            </w:tcBorders>
            <w:shd w:val="clear" w:color="000000" w:fill="D9D9D9"/>
            <w:vAlign w:val="bottom"/>
            <w:hideMark/>
          </w:tcPr>
          <w:p w14:paraId="4203C498"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HEAD OF SERVICE</w:t>
            </w:r>
          </w:p>
        </w:tc>
        <w:tc>
          <w:tcPr>
            <w:tcW w:w="1150" w:type="dxa"/>
            <w:tcBorders>
              <w:top w:val="single" w:sz="4" w:space="0" w:color="auto"/>
              <w:left w:val="nil"/>
              <w:bottom w:val="nil"/>
              <w:right w:val="single" w:sz="4" w:space="0" w:color="auto"/>
            </w:tcBorders>
            <w:shd w:val="clear" w:color="000000" w:fill="D9D9D9"/>
            <w:vAlign w:val="bottom"/>
            <w:hideMark/>
          </w:tcPr>
          <w:p w14:paraId="2599C2A1"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Approved Budget</w:t>
            </w:r>
          </w:p>
        </w:tc>
        <w:tc>
          <w:tcPr>
            <w:tcW w:w="1401" w:type="dxa"/>
            <w:tcBorders>
              <w:top w:val="single" w:sz="4" w:space="0" w:color="auto"/>
              <w:left w:val="nil"/>
              <w:bottom w:val="nil"/>
              <w:right w:val="single" w:sz="4" w:space="0" w:color="auto"/>
            </w:tcBorders>
            <w:shd w:val="clear" w:color="000000" w:fill="D9D9D9"/>
            <w:vAlign w:val="bottom"/>
            <w:hideMark/>
          </w:tcPr>
          <w:p w14:paraId="16CC51F0"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Current Cabinet Forecast Qtr 3</w:t>
            </w:r>
          </w:p>
        </w:tc>
        <w:tc>
          <w:tcPr>
            <w:tcW w:w="1134" w:type="dxa"/>
            <w:tcBorders>
              <w:top w:val="single" w:sz="4" w:space="0" w:color="auto"/>
              <w:left w:val="nil"/>
              <w:bottom w:val="nil"/>
              <w:right w:val="single" w:sz="4" w:space="0" w:color="auto"/>
            </w:tcBorders>
            <w:shd w:val="clear" w:color="000000" w:fill="D9D9D9"/>
            <w:vAlign w:val="bottom"/>
            <w:hideMark/>
          </w:tcPr>
          <w:p w14:paraId="3770278D"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Current Cabinet Forecast Variance</w:t>
            </w:r>
          </w:p>
        </w:tc>
        <w:tc>
          <w:tcPr>
            <w:tcW w:w="1276" w:type="dxa"/>
            <w:tcBorders>
              <w:top w:val="single" w:sz="4" w:space="0" w:color="auto"/>
              <w:left w:val="nil"/>
              <w:bottom w:val="nil"/>
              <w:right w:val="single" w:sz="4" w:space="0" w:color="auto"/>
            </w:tcBorders>
            <w:shd w:val="clear" w:color="000000" w:fill="D9D9D9"/>
            <w:vAlign w:val="bottom"/>
            <w:hideMark/>
          </w:tcPr>
          <w:p w14:paraId="64AA0B03"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Previous Period Forecast Variance Qtr 2</w:t>
            </w:r>
          </w:p>
        </w:tc>
        <w:tc>
          <w:tcPr>
            <w:tcW w:w="1312" w:type="dxa"/>
            <w:tcBorders>
              <w:top w:val="single" w:sz="4" w:space="0" w:color="auto"/>
              <w:left w:val="nil"/>
              <w:bottom w:val="nil"/>
              <w:right w:val="single" w:sz="4" w:space="0" w:color="auto"/>
            </w:tcBorders>
            <w:shd w:val="clear" w:color="000000" w:fill="D9D9D9"/>
            <w:vAlign w:val="bottom"/>
            <w:hideMark/>
          </w:tcPr>
          <w:p w14:paraId="6A75542B"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Current Qtr 3 Forecast Variance</w:t>
            </w:r>
          </w:p>
        </w:tc>
      </w:tr>
      <w:tr w:rsidR="00510203" w:rsidRPr="001C1000" w14:paraId="6AA5942E" w14:textId="77777777" w:rsidTr="00E118FC">
        <w:trPr>
          <w:trHeight w:val="556"/>
        </w:trPr>
        <w:tc>
          <w:tcPr>
            <w:tcW w:w="774" w:type="dxa"/>
            <w:tcBorders>
              <w:top w:val="nil"/>
              <w:left w:val="single" w:sz="4" w:space="0" w:color="auto"/>
              <w:bottom w:val="single" w:sz="4" w:space="0" w:color="auto"/>
              <w:right w:val="single" w:sz="4" w:space="0" w:color="auto"/>
            </w:tcBorders>
            <w:shd w:val="clear" w:color="000000" w:fill="D9D9D9"/>
            <w:vAlign w:val="bottom"/>
            <w:hideMark/>
          </w:tcPr>
          <w:p w14:paraId="33CF60B7"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 </w:t>
            </w:r>
          </w:p>
        </w:tc>
        <w:tc>
          <w:tcPr>
            <w:tcW w:w="3063" w:type="dxa"/>
            <w:tcBorders>
              <w:top w:val="nil"/>
              <w:left w:val="nil"/>
              <w:bottom w:val="single" w:sz="4" w:space="0" w:color="auto"/>
              <w:right w:val="single" w:sz="4" w:space="0" w:color="auto"/>
            </w:tcBorders>
            <w:shd w:val="clear" w:color="000000" w:fill="D9D9D9"/>
            <w:vAlign w:val="bottom"/>
            <w:hideMark/>
          </w:tcPr>
          <w:p w14:paraId="35BE1D8E"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 </w:t>
            </w:r>
          </w:p>
        </w:tc>
        <w:tc>
          <w:tcPr>
            <w:tcW w:w="1150" w:type="dxa"/>
            <w:tcBorders>
              <w:top w:val="nil"/>
              <w:left w:val="nil"/>
              <w:bottom w:val="single" w:sz="4" w:space="0" w:color="auto"/>
              <w:right w:val="single" w:sz="4" w:space="0" w:color="auto"/>
            </w:tcBorders>
            <w:shd w:val="clear" w:color="000000" w:fill="D9D9D9"/>
            <w:vAlign w:val="bottom"/>
            <w:hideMark/>
          </w:tcPr>
          <w:p w14:paraId="59809897"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£m</w:t>
            </w:r>
          </w:p>
        </w:tc>
        <w:tc>
          <w:tcPr>
            <w:tcW w:w="1401" w:type="dxa"/>
            <w:tcBorders>
              <w:top w:val="nil"/>
              <w:left w:val="nil"/>
              <w:bottom w:val="single" w:sz="4" w:space="0" w:color="auto"/>
              <w:right w:val="single" w:sz="4" w:space="0" w:color="auto"/>
            </w:tcBorders>
            <w:shd w:val="clear" w:color="000000" w:fill="D9D9D9"/>
            <w:vAlign w:val="bottom"/>
            <w:hideMark/>
          </w:tcPr>
          <w:p w14:paraId="356AC80D"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£m</w:t>
            </w:r>
          </w:p>
        </w:tc>
        <w:tc>
          <w:tcPr>
            <w:tcW w:w="1134" w:type="dxa"/>
            <w:tcBorders>
              <w:top w:val="nil"/>
              <w:left w:val="nil"/>
              <w:bottom w:val="single" w:sz="4" w:space="0" w:color="auto"/>
              <w:right w:val="single" w:sz="4" w:space="0" w:color="auto"/>
            </w:tcBorders>
            <w:shd w:val="clear" w:color="000000" w:fill="D9D9D9"/>
            <w:vAlign w:val="bottom"/>
            <w:hideMark/>
          </w:tcPr>
          <w:p w14:paraId="5C89637A"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£m</w:t>
            </w:r>
          </w:p>
        </w:tc>
        <w:tc>
          <w:tcPr>
            <w:tcW w:w="1276" w:type="dxa"/>
            <w:tcBorders>
              <w:top w:val="nil"/>
              <w:left w:val="nil"/>
              <w:bottom w:val="single" w:sz="4" w:space="0" w:color="auto"/>
              <w:right w:val="single" w:sz="4" w:space="0" w:color="auto"/>
            </w:tcBorders>
            <w:shd w:val="clear" w:color="000000" w:fill="D9D9D9"/>
            <w:vAlign w:val="bottom"/>
            <w:hideMark/>
          </w:tcPr>
          <w:p w14:paraId="1DBA2779"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£m</w:t>
            </w:r>
          </w:p>
        </w:tc>
        <w:tc>
          <w:tcPr>
            <w:tcW w:w="1312" w:type="dxa"/>
            <w:tcBorders>
              <w:top w:val="nil"/>
              <w:left w:val="nil"/>
              <w:bottom w:val="single" w:sz="4" w:space="0" w:color="auto"/>
              <w:right w:val="single" w:sz="4" w:space="0" w:color="auto"/>
            </w:tcBorders>
            <w:shd w:val="clear" w:color="000000" w:fill="D9D9D9"/>
            <w:vAlign w:val="bottom"/>
            <w:hideMark/>
          </w:tcPr>
          <w:p w14:paraId="098912DE"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w:t>
            </w:r>
          </w:p>
        </w:tc>
      </w:tr>
      <w:tr w:rsidR="00510203" w:rsidRPr="001C1000" w14:paraId="434D75A4" w14:textId="77777777" w:rsidTr="00E118FC">
        <w:trPr>
          <w:trHeight w:val="556"/>
        </w:trPr>
        <w:tc>
          <w:tcPr>
            <w:tcW w:w="774" w:type="dxa"/>
            <w:tcBorders>
              <w:top w:val="nil"/>
              <w:left w:val="single" w:sz="4" w:space="0" w:color="auto"/>
              <w:bottom w:val="single" w:sz="4" w:space="0" w:color="auto"/>
              <w:right w:val="single" w:sz="4" w:space="0" w:color="auto"/>
            </w:tcBorders>
            <w:shd w:val="clear" w:color="000000" w:fill="FFFFFF"/>
            <w:noWrap/>
            <w:hideMark/>
          </w:tcPr>
          <w:p w14:paraId="6D329820"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3.5.1</w:t>
            </w:r>
          </w:p>
        </w:tc>
        <w:tc>
          <w:tcPr>
            <w:tcW w:w="3063" w:type="dxa"/>
            <w:tcBorders>
              <w:top w:val="nil"/>
              <w:left w:val="nil"/>
              <w:bottom w:val="single" w:sz="4" w:space="0" w:color="auto"/>
              <w:right w:val="single" w:sz="4" w:space="0" w:color="auto"/>
            </w:tcBorders>
            <w:shd w:val="clear" w:color="000000" w:fill="FFFFFF"/>
            <w:hideMark/>
          </w:tcPr>
          <w:p w14:paraId="490307A6"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CORE BUSINESS SYSTEMS TRANSFORMATION</w:t>
            </w:r>
          </w:p>
        </w:tc>
        <w:tc>
          <w:tcPr>
            <w:tcW w:w="1150" w:type="dxa"/>
            <w:tcBorders>
              <w:top w:val="nil"/>
              <w:left w:val="nil"/>
              <w:bottom w:val="single" w:sz="4" w:space="0" w:color="auto"/>
              <w:right w:val="single" w:sz="4" w:space="0" w:color="auto"/>
            </w:tcBorders>
            <w:shd w:val="clear" w:color="000000" w:fill="FFFFFF"/>
            <w:hideMark/>
          </w:tcPr>
          <w:p w14:paraId="1449473F"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22.735 </w:t>
            </w:r>
          </w:p>
        </w:tc>
        <w:tc>
          <w:tcPr>
            <w:tcW w:w="1401" w:type="dxa"/>
            <w:tcBorders>
              <w:top w:val="nil"/>
              <w:left w:val="nil"/>
              <w:bottom w:val="single" w:sz="4" w:space="0" w:color="auto"/>
              <w:right w:val="single" w:sz="4" w:space="0" w:color="auto"/>
            </w:tcBorders>
            <w:shd w:val="clear" w:color="000000" w:fill="FFFFFF"/>
            <w:hideMark/>
          </w:tcPr>
          <w:p w14:paraId="5A3EEA7E"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24.069 </w:t>
            </w:r>
          </w:p>
        </w:tc>
        <w:tc>
          <w:tcPr>
            <w:tcW w:w="1134" w:type="dxa"/>
            <w:tcBorders>
              <w:top w:val="nil"/>
              <w:left w:val="nil"/>
              <w:bottom w:val="single" w:sz="4" w:space="0" w:color="auto"/>
              <w:right w:val="single" w:sz="4" w:space="0" w:color="auto"/>
            </w:tcBorders>
            <w:shd w:val="clear" w:color="000000" w:fill="FFFFFF"/>
            <w:hideMark/>
          </w:tcPr>
          <w:p w14:paraId="3AB6BCDD"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1.334 </w:t>
            </w:r>
          </w:p>
        </w:tc>
        <w:tc>
          <w:tcPr>
            <w:tcW w:w="1276" w:type="dxa"/>
            <w:tcBorders>
              <w:top w:val="nil"/>
              <w:left w:val="nil"/>
              <w:bottom w:val="single" w:sz="4" w:space="0" w:color="auto"/>
              <w:right w:val="single" w:sz="4" w:space="0" w:color="auto"/>
            </w:tcBorders>
            <w:shd w:val="clear" w:color="000000" w:fill="FFFFFF"/>
            <w:hideMark/>
          </w:tcPr>
          <w:p w14:paraId="0F784301"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1.242 </w:t>
            </w:r>
          </w:p>
        </w:tc>
        <w:tc>
          <w:tcPr>
            <w:tcW w:w="1312" w:type="dxa"/>
            <w:tcBorders>
              <w:top w:val="nil"/>
              <w:left w:val="nil"/>
              <w:bottom w:val="single" w:sz="4" w:space="0" w:color="auto"/>
              <w:right w:val="single" w:sz="4" w:space="0" w:color="auto"/>
            </w:tcBorders>
            <w:shd w:val="clear" w:color="000000" w:fill="FFFFFF"/>
            <w:hideMark/>
          </w:tcPr>
          <w:p w14:paraId="13AF333D"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5.87%</w:t>
            </w:r>
          </w:p>
        </w:tc>
      </w:tr>
      <w:tr w:rsidR="00510203" w:rsidRPr="001C1000" w14:paraId="649F64DE" w14:textId="77777777" w:rsidTr="00E118FC">
        <w:trPr>
          <w:trHeight w:val="556"/>
        </w:trPr>
        <w:tc>
          <w:tcPr>
            <w:tcW w:w="774" w:type="dxa"/>
            <w:tcBorders>
              <w:top w:val="nil"/>
              <w:left w:val="single" w:sz="4" w:space="0" w:color="auto"/>
              <w:bottom w:val="single" w:sz="4" w:space="0" w:color="auto"/>
              <w:right w:val="single" w:sz="4" w:space="0" w:color="auto"/>
            </w:tcBorders>
            <w:shd w:val="clear" w:color="000000" w:fill="FFFFFF"/>
            <w:noWrap/>
            <w:hideMark/>
          </w:tcPr>
          <w:p w14:paraId="0DA6DD30"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3.5.2</w:t>
            </w:r>
          </w:p>
        </w:tc>
        <w:tc>
          <w:tcPr>
            <w:tcW w:w="3063" w:type="dxa"/>
            <w:tcBorders>
              <w:top w:val="nil"/>
              <w:left w:val="nil"/>
              <w:bottom w:val="single" w:sz="4" w:space="0" w:color="auto"/>
              <w:right w:val="single" w:sz="4" w:space="0" w:color="auto"/>
            </w:tcBorders>
            <w:shd w:val="clear" w:color="000000" w:fill="FFFFFF"/>
            <w:hideMark/>
          </w:tcPr>
          <w:p w14:paraId="55802E49"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FACILITIES MGT</w:t>
            </w:r>
          </w:p>
        </w:tc>
        <w:tc>
          <w:tcPr>
            <w:tcW w:w="1150" w:type="dxa"/>
            <w:tcBorders>
              <w:top w:val="nil"/>
              <w:left w:val="nil"/>
              <w:bottom w:val="single" w:sz="4" w:space="0" w:color="auto"/>
              <w:right w:val="single" w:sz="4" w:space="0" w:color="auto"/>
            </w:tcBorders>
            <w:shd w:val="clear" w:color="000000" w:fill="FFFFFF"/>
            <w:hideMark/>
          </w:tcPr>
          <w:p w14:paraId="317C9B09"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15.725 </w:t>
            </w:r>
          </w:p>
        </w:tc>
        <w:tc>
          <w:tcPr>
            <w:tcW w:w="1401" w:type="dxa"/>
            <w:tcBorders>
              <w:top w:val="nil"/>
              <w:left w:val="nil"/>
              <w:bottom w:val="single" w:sz="4" w:space="0" w:color="auto"/>
              <w:right w:val="single" w:sz="4" w:space="0" w:color="auto"/>
            </w:tcBorders>
            <w:shd w:val="clear" w:color="000000" w:fill="FFFFFF"/>
            <w:hideMark/>
          </w:tcPr>
          <w:p w14:paraId="14546D0F"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17.504 </w:t>
            </w:r>
          </w:p>
        </w:tc>
        <w:tc>
          <w:tcPr>
            <w:tcW w:w="1134" w:type="dxa"/>
            <w:tcBorders>
              <w:top w:val="nil"/>
              <w:left w:val="nil"/>
              <w:bottom w:val="single" w:sz="4" w:space="0" w:color="auto"/>
              <w:right w:val="single" w:sz="4" w:space="0" w:color="auto"/>
            </w:tcBorders>
            <w:shd w:val="clear" w:color="000000" w:fill="FFFFFF"/>
            <w:hideMark/>
          </w:tcPr>
          <w:p w14:paraId="05E88230"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1.779 </w:t>
            </w:r>
          </w:p>
        </w:tc>
        <w:tc>
          <w:tcPr>
            <w:tcW w:w="1276" w:type="dxa"/>
            <w:tcBorders>
              <w:top w:val="nil"/>
              <w:left w:val="nil"/>
              <w:bottom w:val="single" w:sz="4" w:space="0" w:color="auto"/>
              <w:right w:val="single" w:sz="4" w:space="0" w:color="auto"/>
            </w:tcBorders>
            <w:shd w:val="clear" w:color="000000" w:fill="FFFFFF"/>
            <w:hideMark/>
          </w:tcPr>
          <w:p w14:paraId="43D72595"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1.779 </w:t>
            </w:r>
          </w:p>
        </w:tc>
        <w:tc>
          <w:tcPr>
            <w:tcW w:w="1312" w:type="dxa"/>
            <w:tcBorders>
              <w:top w:val="nil"/>
              <w:left w:val="nil"/>
              <w:bottom w:val="single" w:sz="4" w:space="0" w:color="auto"/>
              <w:right w:val="single" w:sz="4" w:space="0" w:color="auto"/>
            </w:tcBorders>
            <w:shd w:val="clear" w:color="000000" w:fill="FFFFFF"/>
            <w:hideMark/>
          </w:tcPr>
          <w:p w14:paraId="2FC99D2C"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11.31%</w:t>
            </w:r>
          </w:p>
        </w:tc>
      </w:tr>
      <w:tr w:rsidR="00510203" w:rsidRPr="001C1000" w14:paraId="2401085D" w14:textId="77777777" w:rsidTr="00E118FC">
        <w:trPr>
          <w:trHeight w:val="556"/>
        </w:trPr>
        <w:tc>
          <w:tcPr>
            <w:tcW w:w="774" w:type="dxa"/>
            <w:tcBorders>
              <w:top w:val="nil"/>
              <w:left w:val="single" w:sz="4" w:space="0" w:color="auto"/>
              <w:bottom w:val="single" w:sz="4" w:space="0" w:color="auto"/>
              <w:right w:val="single" w:sz="4" w:space="0" w:color="auto"/>
            </w:tcBorders>
            <w:shd w:val="clear" w:color="000000" w:fill="FFFFFF"/>
            <w:noWrap/>
            <w:hideMark/>
          </w:tcPr>
          <w:p w14:paraId="51ED8837"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3.5.3</w:t>
            </w:r>
          </w:p>
        </w:tc>
        <w:tc>
          <w:tcPr>
            <w:tcW w:w="3063" w:type="dxa"/>
            <w:tcBorders>
              <w:top w:val="nil"/>
              <w:left w:val="nil"/>
              <w:bottom w:val="single" w:sz="4" w:space="0" w:color="auto"/>
              <w:right w:val="single" w:sz="4" w:space="0" w:color="auto"/>
            </w:tcBorders>
            <w:shd w:val="clear" w:color="000000" w:fill="FFFFFF"/>
            <w:hideMark/>
          </w:tcPr>
          <w:p w14:paraId="208F9194"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HUMAN RESOURCES</w:t>
            </w:r>
          </w:p>
        </w:tc>
        <w:tc>
          <w:tcPr>
            <w:tcW w:w="1150" w:type="dxa"/>
            <w:tcBorders>
              <w:top w:val="nil"/>
              <w:left w:val="nil"/>
              <w:bottom w:val="single" w:sz="4" w:space="0" w:color="auto"/>
              <w:right w:val="single" w:sz="4" w:space="0" w:color="auto"/>
            </w:tcBorders>
            <w:shd w:val="clear" w:color="000000" w:fill="FFFFFF"/>
            <w:hideMark/>
          </w:tcPr>
          <w:p w14:paraId="3ED0AE50"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0.972 </w:t>
            </w:r>
          </w:p>
        </w:tc>
        <w:tc>
          <w:tcPr>
            <w:tcW w:w="1401" w:type="dxa"/>
            <w:tcBorders>
              <w:top w:val="nil"/>
              <w:left w:val="nil"/>
              <w:bottom w:val="single" w:sz="4" w:space="0" w:color="auto"/>
              <w:right w:val="single" w:sz="4" w:space="0" w:color="auto"/>
            </w:tcBorders>
            <w:shd w:val="clear" w:color="000000" w:fill="FFFFFF"/>
            <w:hideMark/>
          </w:tcPr>
          <w:p w14:paraId="66BBFAD7"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0.656 </w:t>
            </w:r>
          </w:p>
        </w:tc>
        <w:tc>
          <w:tcPr>
            <w:tcW w:w="1134" w:type="dxa"/>
            <w:tcBorders>
              <w:top w:val="nil"/>
              <w:left w:val="nil"/>
              <w:bottom w:val="single" w:sz="4" w:space="0" w:color="auto"/>
              <w:right w:val="single" w:sz="4" w:space="0" w:color="auto"/>
            </w:tcBorders>
            <w:shd w:val="clear" w:color="000000" w:fill="FFFFFF"/>
            <w:hideMark/>
          </w:tcPr>
          <w:p w14:paraId="54930AC2"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-0.316 </w:t>
            </w:r>
          </w:p>
        </w:tc>
        <w:tc>
          <w:tcPr>
            <w:tcW w:w="1276" w:type="dxa"/>
            <w:tcBorders>
              <w:top w:val="nil"/>
              <w:left w:val="nil"/>
              <w:bottom w:val="single" w:sz="4" w:space="0" w:color="auto"/>
              <w:right w:val="single" w:sz="4" w:space="0" w:color="auto"/>
            </w:tcBorders>
            <w:shd w:val="clear" w:color="000000" w:fill="FFFFFF"/>
            <w:hideMark/>
          </w:tcPr>
          <w:p w14:paraId="28108999"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-0.316 </w:t>
            </w:r>
          </w:p>
        </w:tc>
        <w:tc>
          <w:tcPr>
            <w:tcW w:w="1312" w:type="dxa"/>
            <w:tcBorders>
              <w:top w:val="nil"/>
              <w:left w:val="nil"/>
              <w:bottom w:val="single" w:sz="4" w:space="0" w:color="auto"/>
              <w:right w:val="single" w:sz="4" w:space="0" w:color="auto"/>
            </w:tcBorders>
            <w:shd w:val="clear" w:color="000000" w:fill="FFFFFF"/>
            <w:hideMark/>
          </w:tcPr>
          <w:p w14:paraId="1D7B733F"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-32.51%</w:t>
            </w:r>
          </w:p>
        </w:tc>
      </w:tr>
      <w:tr w:rsidR="00510203" w:rsidRPr="001C1000" w14:paraId="43F9A5AC" w14:textId="77777777" w:rsidTr="00E118FC">
        <w:trPr>
          <w:trHeight w:val="556"/>
        </w:trPr>
        <w:tc>
          <w:tcPr>
            <w:tcW w:w="774" w:type="dxa"/>
            <w:tcBorders>
              <w:top w:val="nil"/>
              <w:left w:val="single" w:sz="4" w:space="0" w:color="auto"/>
              <w:bottom w:val="single" w:sz="4" w:space="0" w:color="auto"/>
              <w:right w:val="single" w:sz="4" w:space="0" w:color="auto"/>
            </w:tcBorders>
            <w:shd w:val="clear" w:color="000000" w:fill="FFFFFF"/>
            <w:noWrap/>
            <w:hideMark/>
          </w:tcPr>
          <w:p w14:paraId="56AA8E68"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3.5.4</w:t>
            </w:r>
          </w:p>
        </w:tc>
        <w:tc>
          <w:tcPr>
            <w:tcW w:w="3063" w:type="dxa"/>
            <w:tcBorders>
              <w:top w:val="nil"/>
              <w:left w:val="nil"/>
              <w:bottom w:val="single" w:sz="4" w:space="0" w:color="auto"/>
              <w:right w:val="single" w:sz="4" w:space="0" w:color="auto"/>
            </w:tcBorders>
            <w:shd w:val="clear" w:color="000000" w:fill="FFFFFF"/>
            <w:hideMark/>
          </w:tcPr>
          <w:p w14:paraId="68261594"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ECONOMIC DEVELOPMENT</w:t>
            </w:r>
          </w:p>
        </w:tc>
        <w:tc>
          <w:tcPr>
            <w:tcW w:w="1150" w:type="dxa"/>
            <w:tcBorders>
              <w:top w:val="nil"/>
              <w:left w:val="nil"/>
              <w:bottom w:val="single" w:sz="4" w:space="0" w:color="auto"/>
              <w:right w:val="single" w:sz="4" w:space="0" w:color="auto"/>
            </w:tcBorders>
            <w:shd w:val="clear" w:color="000000" w:fill="FFFFFF"/>
            <w:hideMark/>
          </w:tcPr>
          <w:p w14:paraId="1816BAE4"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0.005 </w:t>
            </w:r>
          </w:p>
        </w:tc>
        <w:tc>
          <w:tcPr>
            <w:tcW w:w="1401" w:type="dxa"/>
            <w:tcBorders>
              <w:top w:val="nil"/>
              <w:left w:val="nil"/>
              <w:bottom w:val="single" w:sz="4" w:space="0" w:color="auto"/>
              <w:right w:val="single" w:sz="4" w:space="0" w:color="auto"/>
            </w:tcBorders>
            <w:shd w:val="clear" w:color="000000" w:fill="FFFFFF"/>
            <w:hideMark/>
          </w:tcPr>
          <w:p w14:paraId="3B0C746D"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-0.161 </w:t>
            </w:r>
          </w:p>
        </w:tc>
        <w:tc>
          <w:tcPr>
            <w:tcW w:w="1134" w:type="dxa"/>
            <w:tcBorders>
              <w:top w:val="nil"/>
              <w:left w:val="nil"/>
              <w:bottom w:val="single" w:sz="4" w:space="0" w:color="auto"/>
              <w:right w:val="single" w:sz="4" w:space="0" w:color="auto"/>
            </w:tcBorders>
            <w:shd w:val="clear" w:color="000000" w:fill="FFFFFF"/>
            <w:hideMark/>
          </w:tcPr>
          <w:p w14:paraId="67DB4AE5"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-0.166 </w:t>
            </w:r>
          </w:p>
        </w:tc>
        <w:tc>
          <w:tcPr>
            <w:tcW w:w="1276" w:type="dxa"/>
            <w:tcBorders>
              <w:top w:val="nil"/>
              <w:left w:val="nil"/>
              <w:bottom w:val="single" w:sz="4" w:space="0" w:color="auto"/>
              <w:right w:val="single" w:sz="4" w:space="0" w:color="auto"/>
            </w:tcBorders>
            <w:shd w:val="clear" w:color="auto" w:fill="auto"/>
            <w:hideMark/>
          </w:tcPr>
          <w:p w14:paraId="62D5101A"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0.000 </w:t>
            </w:r>
          </w:p>
        </w:tc>
        <w:tc>
          <w:tcPr>
            <w:tcW w:w="1312" w:type="dxa"/>
            <w:tcBorders>
              <w:top w:val="nil"/>
              <w:left w:val="nil"/>
              <w:bottom w:val="single" w:sz="4" w:space="0" w:color="auto"/>
              <w:right w:val="single" w:sz="4" w:space="0" w:color="auto"/>
            </w:tcBorders>
            <w:shd w:val="clear" w:color="000000" w:fill="FFFFFF"/>
            <w:hideMark/>
          </w:tcPr>
          <w:p w14:paraId="22D79847"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-3320.00%</w:t>
            </w:r>
          </w:p>
        </w:tc>
      </w:tr>
      <w:tr w:rsidR="00510203" w:rsidRPr="001C1000" w14:paraId="63FE53BD" w14:textId="77777777" w:rsidTr="00E118FC">
        <w:trPr>
          <w:trHeight w:val="556"/>
        </w:trPr>
        <w:tc>
          <w:tcPr>
            <w:tcW w:w="774" w:type="dxa"/>
            <w:tcBorders>
              <w:top w:val="nil"/>
              <w:left w:val="single" w:sz="4" w:space="0" w:color="auto"/>
              <w:bottom w:val="single" w:sz="4" w:space="0" w:color="auto"/>
              <w:right w:val="single" w:sz="4" w:space="0" w:color="auto"/>
            </w:tcBorders>
            <w:shd w:val="clear" w:color="000000" w:fill="FFFFFF"/>
            <w:noWrap/>
            <w:hideMark/>
          </w:tcPr>
          <w:p w14:paraId="5B559512"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3.5.5</w:t>
            </w:r>
          </w:p>
        </w:tc>
        <w:tc>
          <w:tcPr>
            <w:tcW w:w="3063" w:type="dxa"/>
            <w:tcBorders>
              <w:top w:val="nil"/>
              <w:left w:val="nil"/>
              <w:bottom w:val="single" w:sz="4" w:space="0" w:color="auto"/>
              <w:right w:val="single" w:sz="4" w:space="0" w:color="auto"/>
            </w:tcBorders>
            <w:shd w:val="clear" w:color="000000" w:fill="FFFFFF"/>
            <w:hideMark/>
          </w:tcPr>
          <w:p w14:paraId="7D44A85B"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BUSINESS GROWTH</w:t>
            </w:r>
          </w:p>
        </w:tc>
        <w:tc>
          <w:tcPr>
            <w:tcW w:w="1150" w:type="dxa"/>
            <w:tcBorders>
              <w:top w:val="nil"/>
              <w:left w:val="nil"/>
              <w:bottom w:val="single" w:sz="4" w:space="0" w:color="auto"/>
              <w:right w:val="single" w:sz="4" w:space="0" w:color="auto"/>
            </w:tcBorders>
            <w:shd w:val="clear" w:color="000000" w:fill="FFFFFF"/>
            <w:hideMark/>
          </w:tcPr>
          <w:p w14:paraId="4DFB9C93"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0.545 </w:t>
            </w:r>
          </w:p>
        </w:tc>
        <w:tc>
          <w:tcPr>
            <w:tcW w:w="1401" w:type="dxa"/>
            <w:tcBorders>
              <w:top w:val="nil"/>
              <w:left w:val="nil"/>
              <w:bottom w:val="single" w:sz="4" w:space="0" w:color="auto"/>
              <w:right w:val="single" w:sz="4" w:space="0" w:color="auto"/>
            </w:tcBorders>
            <w:shd w:val="clear" w:color="000000" w:fill="FFFFFF"/>
            <w:hideMark/>
          </w:tcPr>
          <w:p w14:paraId="48B2946F"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0.642 </w:t>
            </w:r>
          </w:p>
        </w:tc>
        <w:tc>
          <w:tcPr>
            <w:tcW w:w="1134" w:type="dxa"/>
            <w:tcBorders>
              <w:top w:val="nil"/>
              <w:left w:val="nil"/>
              <w:bottom w:val="single" w:sz="4" w:space="0" w:color="auto"/>
              <w:right w:val="single" w:sz="4" w:space="0" w:color="auto"/>
            </w:tcBorders>
            <w:shd w:val="clear" w:color="000000" w:fill="FFFFFF"/>
            <w:hideMark/>
          </w:tcPr>
          <w:p w14:paraId="05F548C9"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0.097 </w:t>
            </w:r>
          </w:p>
        </w:tc>
        <w:tc>
          <w:tcPr>
            <w:tcW w:w="1276" w:type="dxa"/>
            <w:tcBorders>
              <w:top w:val="nil"/>
              <w:left w:val="nil"/>
              <w:bottom w:val="single" w:sz="4" w:space="0" w:color="auto"/>
              <w:right w:val="single" w:sz="4" w:space="0" w:color="auto"/>
            </w:tcBorders>
            <w:shd w:val="clear" w:color="auto" w:fill="auto"/>
            <w:hideMark/>
          </w:tcPr>
          <w:p w14:paraId="2DF5EE0F"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0.042 </w:t>
            </w:r>
          </w:p>
        </w:tc>
        <w:tc>
          <w:tcPr>
            <w:tcW w:w="1312" w:type="dxa"/>
            <w:tcBorders>
              <w:top w:val="nil"/>
              <w:left w:val="nil"/>
              <w:bottom w:val="single" w:sz="4" w:space="0" w:color="auto"/>
              <w:right w:val="single" w:sz="4" w:space="0" w:color="auto"/>
            </w:tcBorders>
            <w:shd w:val="clear" w:color="000000" w:fill="FFFFFF"/>
            <w:hideMark/>
          </w:tcPr>
          <w:p w14:paraId="4EBA8147"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17.80%</w:t>
            </w:r>
          </w:p>
        </w:tc>
      </w:tr>
      <w:tr w:rsidR="00510203" w:rsidRPr="001C1000" w14:paraId="4C6CBEC7" w14:textId="77777777" w:rsidTr="00E118FC">
        <w:trPr>
          <w:trHeight w:val="556"/>
        </w:trPr>
        <w:tc>
          <w:tcPr>
            <w:tcW w:w="774" w:type="dxa"/>
            <w:tcBorders>
              <w:top w:val="nil"/>
              <w:left w:val="single" w:sz="4" w:space="0" w:color="auto"/>
              <w:bottom w:val="single" w:sz="4" w:space="0" w:color="auto"/>
              <w:right w:val="single" w:sz="4" w:space="0" w:color="auto"/>
            </w:tcBorders>
            <w:shd w:val="clear" w:color="000000" w:fill="FFFFFF"/>
            <w:noWrap/>
            <w:hideMark/>
          </w:tcPr>
          <w:p w14:paraId="2EDF566C"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3.5.6</w:t>
            </w:r>
          </w:p>
        </w:tc>
        <w:tc>
          <w:tcPr>
            <w:tcW w:w="3063" w:type="dxa"/>
            <w:tcBorders>
              <w:top w:val="nil"/>
              <w:left w:val="nil"/>
              <w:bottom w:val="single" w:sz="4" w:space="0" w:color="auto"/>
              <w:right w:val="single" w:sz="4" w:space="0" w:color="auto"/>
            </w:tcBorders>
            <w:shd w:val="clear" w:color="000000" w:fill="FFFFFF"/>
            <w:hideMark/>
          </w:tcPr>
          <w:p w14:paraId="49034221"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LEP COORDINATION</w:t>
            </w:r>
          </w:p>
        </w:tc>
        <w:tc>
          <w:tcPr>
            <w:tcW w:w="1150" w:type="dxa"/>
            <w:tcBorders>
              <w:top w:val="nil"/>
              <w:left w:val="nil"/>
              <w:bottom w:val="single" w:sz="4" w:space="0" w:color="auto"/>
              <w:right w:val="single" w:sz="4" w:space="0" w:color="auto"/>
            </w:tcBorders>
            <w:shd w:val="clear" w:color="000000" w:fill="FFFFFF"/>
            <w:hideMark/>
          </w:tcPr>
          <w:p w14:paraId="1D0CBE1D"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0.000 </w:t>
            </w:r>
          </w:p>
        </w:tc>
        <w:tc>
          <w:tcPr>
            <w:tcW w:w="1401" w:type="dxa"/>
            <w:tcBorders>
              <w:top w:val="nil"/>
              <w:left w:val="nil"/>
              <w:bottom w:val="single" w:sz="4" w:space="0" w:color="auto"/>
              <w:right w:val="single" w:sz="4" w:space="0" w:color="auto"/>
            </w:tcBorders>
            <w:shd w:val="clear" w:color="000000" w:fill="FFFFFF"/>
            <w:hideMark/>
          </w:tcPr>
          <w:p w14:paraId="0CE61503"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0.003 </w:t>
            </w:r>
          </w:p>
        </w:tc>
        <w:tc>
          <w:tcPr>
            <w:tcW w:w="1134" w:type="dxa"/>
            <w:tcBorders>
              <w:top w:val="nil"/>
              <w:left w:val="nil"/>
              <w:bottom w:val="single" w:sz="4" w:space="0" w:color="auto"/>
              <w:right w:val="single" w:sz="4" w:space="0" w:color="auto"/>
            </w:tcBorders>
            <w:shd w:val="clear" w:color="000000" w:fill="FFFFFF"/>
            <w:hideMark/>
          </w:tcPr>
          <w:p w14:paraId="71C0C996"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0.003 </w:t>
            </w:r>
          </w:p>
        </w:tc>
        <w:tc>
          <w:tcPr>
            <w:tcW w:w="1276" w:type="dxa"/>
            <w:tcBorders>
              <w:top w:val="nil"/>
              <w:left w:val="nil"/>
              <w:bottom w:val="single" w:sz="4" w:space="0" w:color="auto"/>
              <w:right w:val="single" w:sz="4" w:space="0" w:color="auto"/>
            </w:tcBorders>
            <w:shd w:val="clear" w:color="auto" w:fill="auto"/>
            <w:hideMark/>
          </w:tcPr>
          <w:p w14:paraId="0C0273DC"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0.000 </w:t>
            </w:r>
          </w:p>
        </w:tc>
        <w:tc>
          <w:tcPr>
            <w:tcW w:w="1312" w:type="dxa"/>
            <w:tcBorders>
              <w:top w:val="nil"/>
              <w:left w:val="nil"/>
              <w:bottom w:val="single" w:sz="4" w:space="0" w:color="auto"/>
              <w:right w:val="single" w:sz="4" w:space="0" w:color="auto"/>
            </w:tcBorders>
            <w:shd w:val="clear" w:color="000000" w:fill="FFFFFF"/>
            <w:hideMark/>
          </w:tcPr>
          <w:p w14:paraId="552375D8"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NA</w:t>
            </w:r>
          </w:p>
        </w:tc>
      </w:tr>
      <w:tr w:rsidR="00510203" w:rsidRPr="001C1000" w14:paraId="1D9CC4A2" w14:textId="77777777" w:rsidTr="00E118FC">
        <w:trPr>
          <w:trHeight w:val="556"/>
        </w:trPr>
        <w:tc>
          <w:tcPr>
            <w:tcW w:w="774" w:type="dxa"/>
            <w:tcBorders>
              <w:top w:val="nil"/>
              <w:left w:val="single" w:sz="4" w:space="0" w:color="auto"/>
              <w:bottom w:val="single" w:sz="4" w:space="0" w:color="auto"/>
              <w:right w:val="single" w:sz="4" w:space="0" w:color="auto"/>
            </w:tcBorders>
            <w:shd w:val="clear" w:color="000000" w:fill="FFFFFF"/>
            <w:noWrap/>
            <w:hideMark/>
          </w:tcPr>
          <w:p w14:paraId="02DFB3EF"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3.5.7</w:t>
            </w:r>
          </w:p>
        </w:tc>
        <w:tc>
          <w:tcPr>
            <w:tcW w:w="3063" w:type="dxa"/>
            <w:tcBorders>
              <w:top w:val="nil"/>
              <w:left w:val="nil"/>
              <w:bottom w:val="single" w:sz="4" w:space="0" w:color="auto"/>
              <w:right w:val="single" w:sz="4" w:space="0" w:color="auto"/>
            </w:tcBorders>
            <w:shd w:val="clear" w:color="000000" w:fill="FFFFFF"/>
            <w:hideMark/>
          </w:tcPr>
          <w:p w14:paraId="5B0690EB"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STRATEGIC ECONOMIC DEVELOPMENT</w:t>
            </w:r>
          </w:p>
        </w:tc>
        <w:tc>
          <w:tcPr>
            <w:tcW w:w="1150" w:type="dxa"/>
            <w:tcBorders>
              <w:top w:val="nil"/>
              <w:left w:val="nil"/>
              <w:bottom w:val="single" w:sz="4" w:space="0" w:color="auto"/>
              <w:right w:val="single" w:sz="4" w:space="0" w:color="auto"/>
            </w:tcBorders>
            <w:shd w:val="clear" w:color="000000" w:fill="FFFFFF"/>
            <w:hideMark/>
          </w:tcPr>
          <w:p w14:paraId="25F270F3"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0.000 </w:t>
            </w:r>
          </w:p>
        </w:tc>
        <w:tc>
          <w:tcPr>
            <w:tcW w:w="1401" w:type="dxa"/>
            <w:tcBorders>
              <w:top w:val="nil"/>
              <w:left w:val="nil"/>
              <w:bottom w:val="single" w:sz="4" w:space="0" w:color="auto"/>
              <w:right w:val="single" w:sz="4" w:space="0" w:color="auto"/>
            </w:tcBorders>
            <w:shd w:val="clear" w:color="000000" w:fill="FFFFFF"/>
            <w:hideMark/>
          </w:tcPr>
          <w:p w14:paraId="60E3E222"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0.000 </w:t>
            </w:r>
          </w:p>
        </w:tc>
        <w:tc>
          <w:tcPr>
            <w:tcW w:w="1134" w:type="dxa"/>
            <w:tcBorders>
              <w:top w:val="nil"/>
              <w:left w:val="nil"/>
              <w:bottom w:val="single" w:sz="4" w:space="0" w:color="auto"/>
              <w:right w:val="single" w:sz="4" w:space="0" w:color="auto"/>
            </w:tcBorders>
            <w:shd w:val="clear" w:color="000000" w:fill="FFFFFF"/>
            <w:hideMark/>
          </w:tcPr>
          <w:p w14:paraId="2167139C"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0.000 </w:t>
            </w:r>
          </w:p>
        </w:tc>
        <w:tc>
          <w:tcPr>
            <w:tcW w:w="1276" w:type="dxa"/>
            <w:tcBorders>
              <w:top w:val="nil"/>
              <w:left w:val="nil"/>
              <w:bottom w:val="single" w:sz="4" w:space="0" w:color="auto"/>
              <w:right w:val="single" w:sz="4" w:space="0" w:color="auto"/>
            </w:tcBorders>
            <w:shd w:val="clear" w:color="auto" w:fill="auto"/>
            <w:hideMark/>
          </w:tcPr>
          <w:p w14:paraId="0A6818AC"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-0.000 </w:t>
            </w:r>
          </w:p>
        </w:tc>
        <w:tc>
          <w:tcPr>
            <w:tcW w:w="1312" w:type="dxa"/>
            <w:tcBorders>
              <w:top w:val="nil"/>
              <w:left w:val="nil"/>
              <w:bottom w:val="single" w:sz="4" w:space="0" w:color="auto"/>
              <w:right w:val="single" w:sz="4" w:space="0" w:color="auto"/>
            </w:tcBorders>
            <w:shd w:val="clear" w:color="000000" w:fill="FFFFFF"/>
            <w:hideMark/>
          </w:tcPr>
          <w:p w14:paraId="56873F85"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NA</w:t>
            </w:r>
          </w:p>
        </w:tc>
      </w:tr>
      <w:tr w:rsidR="00510203" w:rsidRPr="001C1000" w14:paraId="72483BB6" w14:textId="77777777" w:rsidTr="00E118FC">
        <w:trPr>
          <w:trHeight w:val="556"/>
        </w:trPr>
        <w:tc>
          <w:tcPr>
            <w:tcW w:w="774" w:type="dxa"/>
            <w:tcBorders>
              <w:top w:val="nil"/>
              <w:left w:val="single" w:sz="4" w:space="0" w:color="auto"/>
              <w:bottom w:val="single" w:sz="4" w:space="0" w:color="auto"/>
              <w:right w:val="single" w:sz="4" w:space="0" w:color="auto"/>
            </w:tcBorders>
            <w:shd w:val="clear" w:color="000000" w:fill="FFFFFF"/>
            <w:noWrap/>
            <w:hideMark/>
          </w:tcPr>
          <w:p w14:paraId="2230433C"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3.5.8</w:t>
            </w:r>
          </w:p>
        </w:tc>
        <w:tc>
          <w:tcPr>
            <w:tcW w:w="3063" w:type="dxa"/>
            <w:tcBorders>
              <w:top w:val="nil"/>
              <w:left w:val="nil"/>
              <w:bottom w:val="single" w:sz="4" w:space="0" w:color="auto"/>
              <w:right w:val="single" w:sz="4" w:space="0" w:color="auto"/>
            </w:tcBorders>
            <w:shd w:val="clear" w:color="auto" w:fill="auto"/>
            <w:hideMark/>
          </w:tcPr>
          <w:p w14:paraId="30901A1B"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DESIGN and CONSTRUCTION</w:t>
            </w:r>
          </w:p>
        </w:tc>
        <w:tc>
          <w:tcPr>
            <w:tcW w:w="1150" w:type="dxa"/>
            <w:tcBorders>
              <w:top w:val="nil"/>
              <w:left w:val="nil"/>
              <w:bottom w:val="single" w:sz="4" w:space="0" w:color="auto"/>
              <w:right w:val="single" w:sz="4" w:space="0" w:color="auto"/>
            </w:tcBorders>
            <w:shd w:val="clear" w:color="auto" w:fill="auto"/>
            <w:hideMark/>
          </w:tcPr>
          <w:p w14:paraId="23465853"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-1.989 </w:t>
            </w:r>
          </w:p>
        </w:tc>
        <w:tc>
          <w:tcPr>
            <w:tcW w:w="1401" w:type="dxa"/>
            <w:tcBorders>
              <w:top w:val="nil"/>
              <w:left w:val="nil"/>
              <w:bottom w:val="single" w:sz="4" w:space="0" w:color="auto"/>
              <w:right w:val="single" w:sz="4" w:space="0" w:color="auto"/>
            </w:tcBorders>
            <w:shd w:val="clear" w:color="000000" w:fill="FFFFFF"/>
            <w:hideMark/>
          </w:tcPr>
          <w:p w14:paraId="5CB72BD0"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-1.893 </w:t>
            </w:r>
          </w:p>
        </w:tc>
        <w:tc>
          <w:tcPr>
            <w:tcW w:w="1134" w:type="dxa"/>
            <w:tcBorders>
              <w:top w:val="nil"/>
              <w:left w:val="nil"/>
              <w:bottom w:val="single" w:sz="4" w:space="0" w:color="auto"/>
              <w:right w:val="single" w:sz="4" w:space="0" w:color="auto"/>
            </w:tcBorders>
            <w:shd w:val="clear" w:color="000000" w:fill="FFFFFF"/>
            <w:hideMark/>
          </w:tcPr>
          <w:p w14:paraId="7A18A539"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0.096 </w:t>
            </w:r>
          </w:p>
        </w:tc>
        <w:tc>
          <w:tcPr>
            <w:tcW w:w="1276" w:type="dxa"/>
            <w:tcBorders>
              <w:top w:val="nil"/>
              <w:left w:val="nil"/>
              <w:bottom w:val="single" w:sz="4" w:space="0" w:color="auto"/>
              <w:right w:val="single" w:sz="4" w:space="0" w:color="auto"/>
            </w:tcBorders>
            <w:shd w:val="clear" w:color="000000" w:fill="FFFFFF"/>
            <w:hideMark/>
          </w:tcPr>
          <w:p w14:paraId="1E8773AB"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0.354 </w:t>
            </w:r>
          </w:p>
        </w:tc>
        <w:tc>
          <w:tcPr>
            <w:tcW w:w="1312" w:type="dxa"/>
            <w:tcBorders>
              <w:top w:val="nil"/>
              <w:left w:val="nil"/>
              <w:bottom w:val="single" w:sz="4" w:space="0" w:color="auto"/>
              <w:right w:val="single" w:sz="4" w:space="0" w:color="auto"/>
            </w:tcBorders>
            <w:shd w:val="clear" w:color="000000" w:fill="FFFFFF"/>
            <w:hideMark/>
          </w:tcPr>
          <w:p w14:paraId="4D6D399E"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-4.83%</w:t>
            </w:r>
          </w:p>
        </w:tc>
      </w:tr>
      <w:tr w:rsidR="00510203" w:rsidRPr="001C1000" w14:paraId="6857E68F" w14:textId="77777777" w:rsidTr="00E118FC">
        <w:trPr>
          <w:trHeight w:val="556"/>
        </w:trPr>
        <w:tc>
          <w:tcPr>
            <w:tcW w:w="774" w:type="dxa"/>
            <w:tcBorders>
              <w:top w:val="nil"/>
              <w:left w:val="single" w:sz="4" w:space="0" w:color="auto"/>
              <w:bottom w:val="single" w:sz="4" w:space="0" w:color="auto"/>
              <w:right w:val="single" w:sz="4" w:space="0" w:color="auto"/>
            </w:tcBorders>
            <w:shd w:val="clear" w:color="000000" w:fill="FFFFFF"/>
            <w:noWrap/>
            <w:hideMark/>
          </w:tcPr>
          <w:p w14:paraId="5827A2BC"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3.5.9</w:t>
            </w:r>
          </w:p>
        </w:tc>
        <w:tc>
          <w:tcPr>
            <w:tcW w:w="3063" w:type="dxa"/>
            <w:tcBorders>
              <w:top w:val="nil"/>
              <w:left w:val="nil"/>
              <w:bottom w:val="single" w:sz="4" w:space="0" w:color="auto"/>
              <w:right w:val="single" w:sz="4" w:space="0" w:color="auto"/>
            </w:tcBorders>
            <w:shd w:val="clear" w:color="000000" w:fill="FFFFFF"/>
            <w:hideMark/>
          </w:tcPr>
          <w:p w14:paraId="039AFC9D"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ESTATES</w:t>
            </w:r>
          </w:p>
        </w:tc>
        <w:tc>
          <w:tcPr>
            <w:tcW w:w="1150" w:type="dxa"/>
            <w:tcBorders>
              <w:top w:val="nil"/>
              <w:left w:val="nil"/>
              <w:bottom w:val="single" w:sz="4" w:space="0" w:color="auto"/>
              <w:right w:val="single" w:sz="4" w:space="0" w:color="auto"/>
            </w:tcBorders>
            <w:shd w:val="clear" w:color="000000" w:fill="FFFFFF"/>
            <w:hideMark/>
          </w:tcPr>
          <w:p w14:paraId="6BD9BF3E"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0.526 </w:t>
            </w:r>
          </w:p>
        </w:tc>
        <w:tc>
          <w:tcPr>
            <w:tcW w:w="1401" w:type="dxa"/>
            <w:tcBorders>
              <w:top w:val="nil"/>
              <w:left w:val="nil"/>
              <w:bottom w:val="single" w:sz="4" w:space="0" w:color="auto"/>
              <w:right w:val="single" w:sz="4" w:space="0" w:color="auto"/>
            </w:tcBorders>
            <w:shd w:val="clear" w:color="000000" w:fill="FFFFFF"/>
            <w:hideMark/>
          </w:tcPr>
          <w:p w14:paraId="1B8A8DCF"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0.526 </w:t>
            </w:r>
          </w:p>
        </w:tc>
        <w:tc>
          <w:tcPr>
            <w:tcW w:w="1134" w:type="dxa"/>
            <w:tcBorders>
              <w:top w:val="nil"/>
              <w:left w:val="nil"/>
              <w:bottom w:val="single" w:sz="4" w:space="0" w:color="auto"/>
              <w:right w:val="single" w:sz="4" w:space="0" w:color="auto"/>
            </w:tcBorders>
            <w:shd w:val="clear" w:color="000000" w:fill="FFFFFF"/>
            <w:hideMark/>
          </w:tcPr>
          <w:p w14:paraId="2D6F0169"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0.000 </w:t>
            </w:r>
          </w:p>
        </w:tc>
        <w:tc>
          <w:tcPr>
            <w:tcW w:w="1276" w:type="dxa"/>
            <w:tcBorders>
              <w:top w:val="nil"/>
              <w:left w:val="nil"/>
              <w:bottom w:val="single" w:sz="4" w:space="0" w:color="auto"/>
              <w:right w:val="single" w:sz="4" w:space="0" w:color="auto"/>
            </w:tcBorders>
            <w:shd w:val="clear" w:color="000000" w:fill="FFFFFF"/>
            <w:hideMark/>
          </w:tcPr>
          <w:p w14:paraId="1695F05D"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0.000 </w:t>
            </w:r>
          </w:p>
        </w:tc>
        <w:tc>
          <w:tcPr>
            <w:tcW w:w="1312" w:type="dxa"/>
            <w:tcBorders>
              <w:top w:val="nil"/>
              <w:left w:val="nil"/>
              <w:bottom w:val="single" w:sz="4" w:space="0" w:color="auto"/>
              <w:right w:val="single" w:sz="4" w:space="0" w:color="auto"/>
            </w:tcBorders>
            <w:shd w:val="clear" w:color="000000" w:fill="FFFFFF"/>
            <w:hideMark/>
          </w:tcPr>
          <w:p w14:paraId="1132E3C0"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0.00%</w:t>
            </w:r>
          </w:p>
        </w:tc>
      </w:tr>
      <w:tr w:rsidR="00510203" w:rsidRPr="001C1000" w14:paraId="6691A821" w14:textId="77777777" w:rsidTr="00E118FC">
        <w:trPr>
          <w:trHeight w:val="556"/>
        </w:trPr>
        <w:tc>
          <w:tcPr>
            <w:tcW w:w="774" w:type="dxa"/>
            <w:tcBorders>
              <w:top w:val="nil"/>
              <w:left w:val="single" w:sz="4" w:space="0" w:color="auto"/>
              <w:bottom w:val="single" w:sz="4" w:space="0" w:color="auto"/>
              <w:right w:val="single" w:sz="4" w:space="0" w:color="auto"/>
            </w:tcBorders>
            <w:shd w:val="clear" w:color="000000" w:fill="FFFFFF"/>
            <w:noWrap/>
            <w:hideMark/>
          </w:tcPr>
          <w:p w14:paraId="0F34E36E"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3.5.10</w:t>
            </w:r>
          </w:p>
        </w:tc>
        <w:tc>
          <w:tcPr>
            <w:tcW w:w="3063" w:type="dxa"/>
            <w:tcBorders>
              <w:top w:val="nil"/>
              <w:left w:val="nil"/>
              <w:bottom w:val="single" w:sz="4" w:space="0" w:color="auto"/>
              <w:right w:val="single" w:sz="4" w:space="0" w:color="auto"/>
            </w:tcBorders>
            <w:shd w:val="clear" w:color="000000" w:fill="FFFFFF"/>
            <w:hideMark/>
          </w:tcPr>
          <w:p w14:paraId="7B05A084"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PLANNING AND ENVIRONMENT</w:t>
            </w:r>
          </w:p>
        </w:tc>
        <w:tc>
          <w:tcPr>
            <w:tcW w:w="1150" w:type="dxa"/>
            <w:tcBorders>
              <w:top w:val="nil"/>
              <w:left w:val="nil"/>
              <w:bottom w:val="single" w:sz="4" w:space="0" w:color="auto"/>
              <w:right w:val="single" w:sz="4" w:space="0" w:color="auto"/>
            </w:tcBorders>
            <w:shd w:val="clear" w:color="000000" w:fill="FFFFFF"/>
            <w:hideMark/>
          </w:tcPr>
          <w:p w14:paraId="21EBD294"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1.506 </w:t>
            </w:r>
          </w:p>
        </w:tc>
        <w:tc>
          <w:tcPr>
            <w:tcW w:w="1401" w:type="dxa"/>
            <w:tcBorders>
              <w:top w:val="nil"/>
              <w:left w:val="nil"/>
              <w:bottom w:val="single" w:sz="4" w:space="0" w:color="auto"/>
              <w:right w:val="single" w:sz="4" w:space="0" w:color="auto"/>
            </w:tcBorders>
            <w:shd w:val="clear" w:color="000000" w:fill="FFFFFF"/>
            <w:hideMark/>
          </w:tcPr>
          <w:p w14:paraId="6EFA3D85"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1.008 </w:t>
            </w:r>
          </w:p>
        </w:tc>
        <w:tc>
          <w:tcPr>
            <w:tcW w:w="1134" w:type="dxa"/>
            <w:tcBorders>
              <w:top w:val="nil"/>
              <w:left w:val="nil"/>
              <w:bottom w:val="single" w:sz="4" w:space="0" w:color="auto"/>
              <w:right w:val="single" w:sz="4" w:space="0" w:color="auto"/>
            </w:tcBorders>
            <w:shd w:val="clear" w:color="000000" w:fill="FFFFFF"/>
            <w:hideMark/>
          </w:tcPr>
          <w:p w14:paraId="11171BA5"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-0.498 </w:t>
            </w:r>
          </w:p>
        </w:tc>
        <w:tc>
          <w:tcPr>
            <w:tcW w:w="1276" w:type="dxa"/>
            <w:tcBorders>
              <w:top w:val="nil"/>
              <w:left w:val="nil"/>
              <w:bottom w:val="single" w:sz="4" w:space="0" w:color="auto"/>
              <w:right w:val="single" w:sz="4" w:space="0" w:color="auto"/>
            </w:tcBorders>
            <w:shd w:val="clear" w:color="000000" w:fill="FFFFFF"/>
            <w:hideMark/>
          </w:tcPr>
          <w:p w14:paraId="3E8C3407"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-0.498 </w:t>
            </w:r>
          </w:p>
        </w:tc>
        <w:tc>
          <w:tcPr>
            <w:tcW w:w="1312" w:type="dxa"/>
            <w:tcBorders>
              <w:top w:val="nil"/>
              <w:left w:val="nil"/>
              <w:bottom w:val="single" w:sz="4" w:space="0" w:color="auto"/>
              <w:right w:val="single" w:sz="4" w:space="0" w:color="auto"/>
            </w:tcBorders>
            <w:shd w:val="clear" w:color="000000" w:fill="FFFFFF"/>
            <w:hideMark/>
          </w:tcPr>
          <w:p w14:paraId="23B4B508"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-33.07%</w:t>
            </w:r>
          </w:p>
        </w:tc>
      </w:tr>
      <w:tr w:rsidR="00510203" w:rsidRPr="001C1000" w14:paraId="1894E4F8" w14:textId="77777777" w:rsidTr="00E118FC">
        <w:trPr>
          <w:trHeight w:val="556"/>
        </w:trPr>
        <w:tc>
          <w:tcPr>
            <w:tcW w:w="774" w:type="dxa"/>
            <w:tcBorders>
              <w:top w:val="nil"/>
              <w:left w:val="single" w:sz="4" w:space="0" w:color="auto"/>
              <w:bottom w:val="single" w:sz="4" w:space="0" w:color="auto"/>
              <w:right w:val="single" w:sz="4" w:space="0" w:color="auto"/>
            </w:tcBorders>
            <w:shd w:val="clear" w:color="000000" w:fill="FFFFFF"/>
            <w:noWrap/>
            <w:hideMark/>
          </w:tcPr>
          <w:p w14:paraId="7CEBEAFA"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3.5.11</w:t>
            </w:r>
          </w:p>
        </w:tc>
        <w:tc>
          <w:tcPr>
            <w:tcW w:w="3063" w:type="dxa"/>
            <w:tcBorders>
              <w:top w:val="nil"/>
              <w:left w:val="nil"/>
              <w:bottom w:val="single" w:sz="4" w:space="0" w:color="auto"/>
              <w:right w:val="single" w:sz="4" w:space="0" w:color="auto"/>
            </w:tcBorders>
            <w:shd w:val="clear" w:color="000000" w:fill="FFFFFF"/>
            <w:hideMark/>
          </w:tcPr>
          <w:p w14:paraId="01A275BB"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PROGRAMME OFFICE</w:t>
            </w:r>
          </w:p>
        </w:tc>
        <w:tc>
          <w:tcPr>
            <w:tcW w:w="1150" w:type="dxa"/>
            <w:tcBorders>
              <w:top w:val="nil"/>
              <w:left w:val="nil"/>
              <w:bottom w:val="single" w:sz="4" w:space="0" w:color="auto"/>
              <w:right w:val="single" w:sz="4" w:space="0" w:color="auto"/>
            </w:tcBorders>
            <w:shd w:val="clear" w:color="000000" w:fill="FFFFFF"/>
            <w:hideMark/>
          </w:tcPr>
          <w:p w14:paraId="508B329E"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-0.022 </w:t>
            </w:r>
          </w:p>
        </w:tc>
        <w:tc>
          <w:tcPr>
            <w:tcW w:w="1401" w:type="dxa"/>
            <w:tcBorders>
              <w:top w:val="nil"/>
              <w:left w:val="nil"/>
              <w:bottom w:val="single" w:sz="4" w:space="0" w:color="auto"/>
              <w:right w:val="single" w:sz="4" w:space="0" w:color="auto"/>
            </w:tcBorders>
            <w:shd w:val="clear" w:color="000000" w:fill="FFFFFF"/>
            <w:hideMark/>
          </w:tcPr>
          <w:p w14:paraId="0721AD45"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0.242 </w:t>
            </w:r>
          </w:p>
        </w:tc>
        <w:tc>
          <w:tcPr>
            <w:tcW w:w="1134" w:type="dxa"/>
            <w:tcBorders>
              <w:top w:val="nil"/>
              <w:left w:val="nil"/>
              <w:bottom w:val="single" w:sz="4" w:space="0" w:color="auto"/>
              <w:right w:val="single" w:sz="4" w:space="0" w:color="auto"/>
            </w:tcBorders>
            <w:shd w:val="clear" w:color="000000" w:fill="FFFFFF"/>
            <w:hideMark/>
          </w:tcPr>
          <w:p w14:paraId="3200F527"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0.264 </w:t>
            </w:r>
          </w:p>
        </w:tc>
        <w:tc>
          <w:tcPr>
            <w:tcW w:w="1276" w:type="dxa"/>
            <w:tcBorders>
              <w:top w:val="nil"/>
              <w:left w:val="nil"/>
              <w:bottom w:val="single" w:sz="4" w:space="0" w:color="auto"/>
              <w:right w:val="single" w:sz="4" w:space="0" w:color="auto"/>
            </w:tcBorders>
            <w:shd w:val="clear" w:color="000000" w:fill="FFFFFF"/>
            <w:hideMark/>
          </w:tcPr>
          <w:p w14:paraId="69C99EC6"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0.264 </w:t>
            </w:r>
          </w:p>
        </w:tc>
        <w:tc>
          <w:tcPr>
            <w:tcW w:w="1312" w:type="dxa"/>
            <w:tcBorders>
              <w:top w:val="nil"/>
              <w:left w:val="nil"/>
              <w:bottom w:val="single" w:sz="4" w:space="0" w:color="auto"/>
              <w:right w:val="single" w:sz="4" w:space="0" w:color="auto"/>
            </w:tcBorders>
            <w:shd w:val="clear" w:color="000000" w:fill="FFFFFF"/>
            <w:hideMark/>
          </w:tcPr>
          <w:p w14:paraId="76DD0850"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-1200.00%</w:t>
            </w:r>
          </w:p>
        </w:tc>
      </w:tr>
      <w:tr w:rsidR="00510203" w:rsidRPr="001C1000" w14:paraId="5F6629A9" w14:textId="77777777" w:rsidTr="00E118FC">
        <w:trPr>
          <w:trHeight w:val="556"/>
        </w:trPr>
        <w:tc>
          <w:tcPr>
            <w:tcW w:w="774" w:type="dxa"/>
            <w:tcBorders>
              <w:top w:val="nil"/>
              <w:left w:val="single" w:sz="4" w:space="0" w:color="auto"/>
              <w:bottom w:val="single" w:sz="4" w:space="0" w:color="auto"/>
              <w:right w:val="single" w:sz="4" w:space="0" w:color="auto"/>
            </w:tcBorders>
            <w:shd w:val="clear" w:color="auto" w:fill="auto"/>
            <w:noWrap/>
            <w:hideMark/>
          </w:tcPr>
          <w:p w14:paraId="2320B3F8"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3.5.12</w:t>
            </w:r>
          </w:p>
        </w:tc>
        <w:tc>
          <w:tcPr>
            <w:tcW w:w="3063" w:type="dxa"/>
            <w:tcBorders>
              <w:top w:val="nil"/>
              <w:left w:val="nil"/>
              <w:bottom w:val="single" w:sz="4" w:space="0" w:color="auto"/>
              <w:right w:val="single" w:sz="4" w:space="0" w:color="auto"/>
            </w:tcBorders>
            <w:shd w:val="clear" w:color="auto" w:fill="auto"/>
            <w:hideMark/>
          </w:tcPr>
          <w:p w14:paraId="38A4FB93"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SKILLS LEARNING &amp; DEVELOPMENT</w:t>
            </w:r>
          </w:p>
        </w:tc>
        <w:tc>
          <w:tcPr>
            <w:tcW w:w="1150" w:type="dxa"/>
            <w:tcBorders>
              <w:top w:val="nil"/>
              <w:left w:val="nil"/>
              <w:bottom w:val="single" w:sz="4" w:space="0" w:color="auto"/>
              <w:right w:val="single" w:sz="4" w:space="0" w:color="auto"/>
            </w:tcBorders>
            <w:shd w:val="clear" w:color="auto" w:fill="auto"/>
            <w:hideMark/>
          </w:tcPr>
          <w:p w14:paraId="2C53FF02"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2.827 </w:t>
            </w:r>
          </w:p>
        </w:tc>
        <w:tc>
          <w:tcPr>
            <w:tcW w:w="1401" w:type="dxa"/>
            <w:tcBorders>
              <w:top w:val="nil"/>
              <w:left w:val="nil"/>
              <w:bottom w:val="single" w:sz="4" w:space="0" w:color="auto"/>
              <w:right w:val="single" w:sz="4" w:space="0" w:color="auto"/>
            </w:tcBorders>
            <w:shd w:val="clear" w:color="auto" w:fill="auto"/>
            <w:hideMark/>
          </w:tcPr>
          <w:p w14:paraId="2D6AC9F1"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2.564 </w:t>
            </w:r>
          </w:p>
        </w:tc>
        <w:tc>
          <w:tcPr>
            <w:tcW w:w="1134" w:type="dxa"/>
            <w:tcBorders>
              <w:top w:val="nil"/>
              <w:left w:val="nil"/>
              <w:bottom w:val="single" w:sz="4" w:space="0" w:color="auto"/>
              <w:right w:val="single" w:sz="4" w:space="0" w:color="auto"/>
            </w:tcBorders>
            <w:shd w:val="clear" w:color="auto" w:fill="auto"/>
            <w:hideMark/>
          </w:tcPr>
          <w:p w14:paraId="74D1F0B3"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-0.263 </w:t>
            </w:r>
          </w:p>
        </w:tc>
        <w:tc>
          <w:tcPr>
            <w:tcW w:w="1276" w:type="dxa"/>
            <w:tcBorders>
              <w:top w:val="nil"/>
              <w:left w:val="nil"/>
              <w:bottom w:val="single" w:sz="4" w:space="0" w:color="auto"/>
              <w:right w:val="single" w:sz="4" w:space="0" w:color="auto"/>
            </w:tcBorders>
            <w:shd w:val="clear" w:color="000000" w:fill="FFFFFF"/>
            <w:hideMark/>
          </w:tcPr>
          <w:p w14:paraId="350BEE2D"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-0.283 </w:t>
            </w:r>
          </w:p>
        </w:tc>
        <w:tc>
          <w:tcPr>
            <w:tcW w:w="1312" w:type="dxa"/>
            <w:tcBorders>
              <w:top w:val="nil"/>
              <w:left w:val="nil"/>
              <w:bottom w:val="single" w:sz="4" w:space="0" w:color="auto"/>
              <w:right w:val="single" w:sz="4" w:space="0" w:color="auto"/>
            </w:tcBorders>
            <w:shd w:val="clear" w:color="auto" w:fill="auto"/>
            <w:hideMark/>
          </w:tcPr>
          <w:p w14:paraId="25BD0499"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-9.30%</w:t>
            </w:r>
          </w:p>
        </w:tc>
      </w:tr>
      <w:tr w:rsidR="00510203" w:rsidRPr="001C1000" w14:paraId="5E048542" w14:textId="77777777" w:rsidTr="00E118FC">
        <w:trPr>
          <w:trHeight w:val="556"/>
        </w:trPr>
        <w:tc>
          <w:tcPr>
            <w:tcW w:w="774" w:type="dxa"/>
            <w:tcBorders>
              <w:top w:val="nil"/>
              <w:left w:val="single" w:sz="4" w:space="0" w:color="auto"/>
              <w:bottom w:val="single" w:sz="4" w:space="0" w:color="auto"/>
              <w:right w:val="single" w:sz="4" w:space="0" w:color="auto"/>
            </w:tcBorders>
            <w:shd w:val="clear" w:color="000000" w:fill="D9D9D9"/>
            <w:vAlign w:val="center"/>
            <w:hideMark/>
          </w:tcPr>
          <w:p w14:paraId="6D592E8E" w14:textId="77777777" w:rsidR="00510203" w:rsidRPr="001C1000" w:rsidRDefault="00510203" w:rsidP="00E118FC">
            <w:pPr>
              <w:spacing w:after="0"/>
              <w:jc w:val="right"/>
              <w:rPr>
                <w:rFonts w:eastAsia="Times New Roman" w:cs="Arial"/>
                <w:b/>
                <w:bCs/>
                <w:sz w:val="20"/>
                <w:szCs w:val="20"/>
                <w:lang w:eastAsia="en-GB"/>
              </w:rPr>
            </w:pPr>
            <w:r w:rsidRPr="001C1000">
              <w:rPr>
                <w:rFonts w:eastAsia="Times New Roman" w:cs="Arial"/>
                <w:b/>
                <w:bCs/>
                <w:sz w:val="20"/>
                <w:szCs w:val="20"/>
                <w:lang w:eastAsia="en-GB"/>
              </w:rPr>
              <w:t> </w:t>
            </w:r>
          </w:p>
        </w:tc>
        <w:tc>
          <w:tcPr>
            <w:tcW w:w="3063" w:type="dxa"/>
            <w:tcBorders>
              <w:top w:val="nil"/>
              <w:left w:val="nil"/>
              <w:bottom w:val="single" w:sz="4" w:space="0" w:color="auto"/>
              <w:right w:val="single" w:sz="4" w:space="0" w:color="auto"/>
            </w:tcBorders>
            <w:shd w:val="clear" w:color="000000" w:fill="D9D9D9"/>
            <w:vAlign w:val="center"/>
            <w:hideMark/>
          </w:tcPr>
          <w:p w14:paraId="115BE896" w14:textId="77777777" w:rsidR="00510203" w:rsidRPr="001C1000" w:rsidRDefault="00510203" w:rsidP="00D40856">
            <w:pPr>
              <w:spacing w:after="0"/>
              <w:jc w:val="left"/>
              <w:rPr>
                <w:rFonts w:eastAsia="Times New Roman" w:cs="Arial"/>
                <w:b/>
                <w:bCs/>
                <w:sz w:val="20"/>
                <w:szCs w:val="20"/>
                <w:lang w:eastAsia="en-GB"/>
              </w:rPr>
            </w:pPr>
            <w:r w:rsidRPr="001C1000">
              <w:rPr>
                <w:rFonts w:eastAsia="Times New Roman" w:cs="Arial"/>
                <w:b/>
                <w:bCs/>
                <w:sz w:val="20"/>
                <w:szCs w:val="20"/>
                <w:lang w:eastAsia="en-GB"/>
              </w:rPr>
              <w:t>TOTAL - DEVELOPMENT AND CORPORATE</w:t>
            </w:r>
          </w:p>
        </w:tc>
        <w:tc>
          <w:tcPr>
            <w:tcW w:w="1150" w:type="dxa"/>
            <w:tcBorders>
              <w:top w:val="nil"/>
              <w:left w:val="nil"/>
              <w:bottom w:val="single" w:sz="4" w:space="0" w:color="auto"/>
              <w:right w:val="single" w:sz="4" w:space="0" w:color="auto"/>
            </w:tcBorders>
            <w:shd w:val="clear" w:color="000000" w:fill="D9D9D9"/>
            <w:vAlign w:val="center"/>
            <w:hideMark/>
          </w:tcPr>
          <w:p w14:paraId="0DF684A8" w14:textId="77777777" w:rsidR="00510203" w:rsidRPr="001C1000" w:rsidRDefault="00510203" w:rsidP="00E118FC">
            <w:pPr>
              <w:spacing w:after="0"/>
              <w:jc w:val="right"/>
              <w:rPr>
                <w:rFonts w:eastAsia="Times New Roman" w:cs="Arial"/>
                <w:b/>
                <w:bCs/>
                <w:sz w:val="20"/>
                <w:szCs w:val="20"/>
                <w:lang w:eastAsia="en-GB"/>
              </w:rPr>
            </w:pPr>
            <w:r w:rsidRPr="001C1000">
              <w:rPr>
                <w:rFonts w:eastAsia="Times New Roman" w:cs="Arial"/>
                <w:b/>
                <w:bCs/>
                <w:sz w:val="20"/>
                <w:szCs w:val="20"/>
                <w:lang w:eastAsia="en-GB"/>
              </w:rPr>
              <w:t xml:space="preserve">42.830 </w:t>
            </w:r>
          </w:p>
        </w:tc>
        <w:tc>
          <w:tcPr>
            <w:tcW w:w="1401" w:type="dxa"/>
            <w:tcBorders>
              <w:top w:val="nil"/>
              <w:left w:val="nil"/>
              <w:bottom w:val="single" w:sz="4" w:space="0" w:color="auto"/>
              <w:right w:val="single" w:sz="4" w:space="0" w:color="auto"/>
            </w:tcBorders>
            <w:shd w:val="clear" w:color="000000" w:fill="D9D9D9"/>
            <w:vAlign w:val="center"/>
            <w:hideMark/>
          </w:tcPr>
          <w:p w14:paraId="454BE36B" w14:textId="77777777" w:rsidR="00510203" w:rsidRPr="001C1000" w:rsidRDefault="00510203" w:rsidP="00E118FC">
            <w:pPr>
              <w:spacing w:after="0"/>
              <w:jc w:val="right"/>
              <w:rPr>
                <w:rFonts w:eastAsia="Times New Roman" w:cs="Arial"/>
                <w:b/>
                <w:bCs/>
                <w:sz w:val="20"/>
                <w:szCs w:val="20"/>
                <w:lang w:eastAsia="en-GB"/>
              </w:rPr>
            </w:pPr>
            <w:r w:rsidRPr="001C1000">
              <w:rPr>
                <w:rFonts w:eastAsia="Times New Roman" w:cs="Arial"/>
                <w:b/>
                <w:bCs/>
                <w:sz w:val="20"/>
                <w:szCs w:val="20"/>
                <w:lang w:eastAsia="en-GB"/>
              </w:rPr>
              <w:t xml:space="preserve">45.160 </w:t>
            </w:r>
          </w:p>
        </w:tc>
        <w:tc>
          <w:tcPr>
            <w:tcW w:w="1134" w:type="dxa"/>
            <w:tcBorders>
              <w:top w:val="nil"/>
              <w:left w:val="nil"/>
              <w:bottom w:val="single" w:sz="4" w:space="0" w:color="auto"/>
              <w:right w:val="single" w:sz="4" w:space="0" w:color="auto"/>
            </w:tcBorders>
            <w:shd w:val="clear" w:color="000000" w:fill="D9D9D9"/>
            <w:vAlign w:val="center"/>
            <w:hideMark/>
          </w:tcPr>
          <w:p w14:paraId="0B60572B" w14:textId="77777777" w:rsidR="00510203" w:rsidRPr="001C1000" w:rsidRDefault="00510203" w:rsidP="00E118FC">
            <w:pPr>
              <w:spacing w:after="0"/>
              <w:jc w:val="right"/>
              <w:rPr>
                <w:rFonts w:eastAsia="Times New Roman" w:cs="Arial"/>
                <w:b/>
                <w:bCs/>
                <w:sz w:val="20"/>
                <w:szCs w:val="20"/>
                <w:lang w:eastAsia="en-GB"/>
              </w:rPr>
            </w:pPr>
            <w:r w:rsidRPr="001C1000">
              <w:rPr>
                <w:rFonts w:eastAsia="Times New Roman" w:cs="Arial"/>
                <w:b/>
                <w:bCs/>
                <w:sz w:val="20"/>
                <w:szCs w:val="20"/>
                <w:lang w:eastAsia="en-GB"/>
              </w:rPr>
              <w:t xml:space="preserve">2.330 </w:t>
            </w:r>
          </w:p>
        </w:tc>
        <w:tc>
          <w:tcPr>
            <w:tcW w:w="1276" w:type="dxa"/>
            <w:tcBorders>
              <w:top w:val="nil"/>
              <w:left w:val="nil"/>
              <w:bottom w:val="single" w:sz="4" w:space="0" w:color="auto"/>
              <w:right w:val="single" w:sz="4" w:space="0" w:color="auto"/>
            </w:tcBorders>
            <w:shd w:val="clear" w:color="000000" w:fill="D9D9D9"/>
            <w:vAlign w:val="center"/>
            <w:hideMark/>
          </w:tcPr>
          <w:p w14:paraId="09FCB131" w14:textId="77777777" w:rsidR="00510203" w:rsidRPr="001C1000" w:rsidRDefault="00510203" w:rsidP="00E118FC">
            <w:pPr>
              <w:spacing w:after="0"/>
              <w:jc w:val="right"/>
              <w:rPr>
                <w:rFonts w:eastAsia="Times New Roman" w:cs="Arial"/>
                <w:b/>
                <w:bCs/>
                <w:sz w:val="20"/>
                <w:szCs w:val="20"/>
                <w:lang w:eastAsia="en-GB"/>
              </w:rPr>
            </w:pPr>
            <w:r w:rsidRPr="001C1000">
              <w:rPr>
                <w:rFonts w:eastAsia="Times New Roman" w:cs="Arial"/>
                <w:b/>
                <w:bCs/>
                <w:sz w:val="20"/>
                <w:szCs w:val="20"/>
                <w:lang w:eastAsia="en-GB"/>
              </w:rPr>
              <w:t xml:space="preserve">2.584 </w:t>
            </w:r>
          </w:p>
        </w:tc>
        <w:tc>
          <w:tcPr>
            <w:tcW w:w="1312" w:type="dxa"/>
            <w:tcBorders>
              <w:top w:val="nil"/>
              <w:left w:val="nil"/>
              <w:bottom w:val="single" w:sz="4" w:space="0" w:color="auto"/>
              <w:right w:val="single" w:sz="4" w:space="0" w:color="auto"/>
            </w:tcBorders>
            <w:shd w:val="clear" w:color="000000" w:fill="D9D9D9"/>
            <w:vAlign w:val="center"/>
            <w:hideMark/>
          </w:tcPr>
          <w:p w14:paraId="3E264A7D" w14:textId="77777777" w:rsidR="00510203" w:rsidRPr="001C1000" w:rsidRDefault="00510203" w:rsidP="00E118FC">
            <w:pPr>
              <w:spacing w:after="0"/>
              <w:jc w:val="right"/>
              <w:rPr>
                <w:rFonts w:eastAsia="Times New Roman" w:cs="Arial"/>
                <w:b/>
                <w:bCs/>
                <w:sz w:val="20"/>
                <w:szCs w:val="20"/>
                <w:lang w:eastAsia="en-GB"/>
              </w:rPr>
            </w:pPr>
            <w:r w:rsidRPr="001C1000">
              <w:rPr>
                <w:rFonts w:eastAsia="Times New Roman" w:cs="Arial"/>
                <w:b/>
                <w:bCs/>
                <w:sz w:val="20"/>
                <w:szCs w:val="20"/>
                <w:lang w:eastAsia="en-GB"/>
              </w:rPr>
              <w:t>5.44%</w:t>
            </w:r>
          </w:p>
        </w:tc>
      </w:tr>
    </w:tbl>
    <w:p w14:paraId="6E792BBC" w14:textId="77777777" w:rsidR="00510203" w:rsidRDefault="00510203" w:rsidP="00510203">
      <w:pPr>
        <w:spacing w:after="0"/>
        <w:rPr>
          <w:rFonts w:cs="Arial"/>
          <w:b/>
          <w:u w:val="single"/>
        </w:rPr>
      </w:pPr>
    </w:p>
    <w:p w14:paraId="398FC7AE" w14:textId="2A4C605B" w:rsidR="00510203" w:rsidRDefault="00510203" w:rsidP="00510203">
      <w:pPr>
        <w:spacing w:after="0"/>
        <w:rPr>
          <w:rFonts w:cs="Arial"/>
        </w:rPr>
      </w:pPr>
      <w:r>
        <w:rPr>
          <w:rFonts w:cs="Arial"/>
        </w:rPr>
        <w:t>Development and Corporate Services are</w:t>
      </w:r>
      <w:r w:rsidRPr="00CD40A7">
        <w:rPr>
          <w:rFonts w:cs="Arial"/>
        </w:rPr>
        <w:t xml:space="preserve"> forecast to </w:t>
      </w:r>
      <w:r>
        <w:rPr>
          <w:rFonts w:cs="Arial"/>
        </w:rPr>
        <w:t xml:space="preserve">overspend </w:t>
      </w:r>
      <w:r w:rsidRPr="00CD40A7">
        <w:rPr>
          <w:rFonts w:cs="Arial"/>
        </w:rPr>
        <w:t>by £</w:t>
      </w:r>
      <w:r>
        <w:rPr>
          <w:rFonts w:cs="Arial"/>
        </w:rPr>
        <w:t>2.330</w:t>
      </w:r>
      <w:r w:rsidRPr="00CD40A7">
        <w:rPr>
          <w:rFonts w:cs="Arial"/>
        </w:rPr>
        <w:t>m.</w:t>
      </w:r>
      <w:r w:rsidR="00F9124E">
        <w:rPr>
          <w:rFonts w:cs="Arial"/>
        </w:rPr>
        <w:t xml:space="preserve"> The overspend at Quarter 3</w:t>
      </w:r>
      <w:r w:rsidRPr="00CD40A7">
        <w:rPr>
          <w:rFonts w:cs="Arial"/>
        </w:rPr>
        <w:t xml:space="preserve"> has </w:t>
      </w:r>
      <w:r>
        <w:rPr>
          <w:rFonts w:cs="Arial"/>
        </w:rPr>
        <w:t>decreased</w:t>
      </w:r>
      <w:r w:rsidRPr="00CD40A7">
        <w:rPr>
          <w:rFonts w:cs="Arial"/>
        </w:rPr>
        <w:t xml:space="preserve"> by £0.</w:t>
      </w:r>
      <w:r>
        <w:rPr>
          <w:rFonts w:cs="Arial"/>
        </w:rPr>
        <w:t>254</w:t>
      </w:r>
      <w:r w:rsidRPr="00CD40A7">
        <w:rPr>
          <w:rFonts w:cs="Arial"/>
        </w:rPr>
        <w:t>m compared to Quarter 2 Cabinet monitoring.</w:t>
      </w:r>
    </w:p>
    <w:p w14:paraId="5BEC25C4" w14:textId="77777777" w:rsidR="00510203" w:rsidRDefault="00510203" w:rsidP="00510203">
      <w:pPr>
        <w:spacing w:after="0"/>
        <w:rPr>
          <w:rFonts w:cs="Arial"/>
        </w:rPr>
      </w:pPr>
    </w:p>
    <w:p w14:paraId="0D71BBF4" w14:textId="240C0953" w:rsidR="00510203" w:rsidRDefault="00510203" w:rsidP="00510203">
      <w:pPr>
        <w:spacing w:after="0"/>
        <w:rPr>
          <w:rFonts w:cs="Arial"/>
        </w:rPr>
      </w:pPr>
      <w:r>
        <w:rPr>
          <w:rFonts w:cs="Arial"/>
        </w:rPr>
        <w:t>Facilities Management is forecast to overspend by £1.779m due to undeliverable savings across property budgets which have been built into the MTFS. In addition, Core Business Systems/Transformation are fo</w:t>
      </w:r>
      <w:r w:rsidR="000B50CA">
        <w:rPr>
          <w:rFonts w:cs="Arial"/>
        </w:rPr>
        <w:t>recasting an overspend of £1.334</w:t>
      </w:r>
      <w:r>
        <w:rPr>
          <w:rFonts w:cs="Arial"/>
        </w:rPr>
        <w:t>m which is due a combination of delayed delivery of savings and reductions in income.</w:t>
      </w:r>
    </w:p>
    <w:p w14:paraId="5F443AC2" w14:textId="77777777" w:rsidR="00510203" w:rsidRDefault="00510203" w:rsidP="00510203">
      <w:pPr>
        <w:spacing w:after="0"/>
        <w:rPr>
          <w:rFonts w:cs="Arial"/>
        </w:rPr>
      </w:pPr>
    </w:p>
    <w:p w14:paraId="578F0A61" w14:textId="1B7AF051" w:rsidR="00510203" w:rsidRDefault="00510203" w:rsidP="00510203">
      <w:pPr>
        <w:spacing w:after="0"/>
        <w:rPr>
          <w:rFonts w:cs="Arial"/>
        </w:rPr>
      </w:pPr>
      <w:r>
        <w:rPr>
          <w:rFonts w:cs="Arial"/>
        </w:rPr>
        <w:t>There is no significant change</w:t>
      </w:r>
      <w:r w:rsidR="00F9124E">
        <w:rPr>
          <w:rFonts w:cs="Arial"/>
        </w:rPr>
        <w:t xml:space="preserve"> compared to the Quarter 2</w:t>
      </w:r>
      <w:r>
        <w:rPr>
          <w:rFonts w:cs="Arial"/>
        </w:rPr>
        <w:t xml:space="preserve"> forecast.</w:t>
      </w:r>
    </w:p>
    <w:p w14:paraId="258E0647" w14:textId="77777777" w:rsidR="00510203" w:rsidRDefault="00510203" w:rsidP="00510203">
      <w:pPr>
        <w:spacing w:after="0"/>
        <w:rPr>
          <w:rFonts w:cs="Arial"/>
        </w:rPr>
      </w:pPr>
    </w:p>
    <w:p w14:paraId="54939FDE" w14:textId="77777777" w:rsidR="00510203" w:rsidRPr="00B86811" w:rsidRDefault="00510203" w:rsidP="00510203">
      <w:pPr>
        <w:spacing w:after="0"/>
        <w:rPr>
          <w:rFonts w:cs="Arial"/>
        </w:rPr>
      </w:pPr>
    </w:p>
    <w:p w14:paraId="13E67818" w14:textId="77777777" w:rsidR="00D40856" w:rsidRDefault="00D40856" w:rsidP="00510203">
      <w:pPr>
        <w:spacing w:after="0"/>
        <w:rPr>
          <w:rFonts w:cs="Arial"/>
          <w:b/>
          <w:u w:val="single"/>
        </w:rPr>
      </w:pPr>
    </w:p>
    <w:p w14:paraId="0B99FF52" w14:textId="77777777" w:rsidR="00D40856" w:rsidRDefault="00D40856" w:rsidP="00510203">
      <w:pPr>
        <w:spacing w:after="0"/>
        <w:rPr>
          <w:rFonts w:cs="Arial"/>
          <w:b/>
          <w:u w:val="single"/>
        </w:rPr>
      </w:pPr>
    </w:p>
    <w:p w14:paraId="619529FA" w14:textId="77777777" w:rsidR="00D40856" w:rsidRDefault="00D40856" w:rsidP="00510203">
      <w:pPr>
        <w:spacing w:after="0"/>
        <w:rPr>
          <w:rFonts w:cs="Arial"/>
          <w:b/>
          <w:u w:val="single"/>
        </w:rPr>
      </w:pPr>
    </w:p>
    <w:p w14:paraId="5A2BF83C" w14:textId="6278E16E" w:rsidR="00510203" w:rsidRDefault="00D40856" w:rsidP="00510203">
      <w:pPr>
        <w:spacing w:after="0"/>
        <w:rPr>
          <w:rFonts w:cs="Arial"/>
          <w:b/>
        </w:rPr>
      </w:pPr>
      <w:r>
        <w:rPr>
          <w:rFonts w:eastAsia="Times New Roman" w:cs="Arial"/>
          <w:b/>
          <w:lang w:eastAsia="en-GB"/>
        </w:rPr>
        <w:t>3</w:t>
      </w:r>
      <w:r w:rsidRPr="00FB36C0">
        <w:rPr>
          <w:rFonts w:eastAsia="Times New Roman" w:cs="Arial"/>
          <w:b/>
          <w:lang w:eastAsia="en-GB"/>
        </w:rPr>
        <w:t>.</w:t>
      </w:r>
      <w:r>
        <w:rPr>
          <w:rFonts w:eastAsia="Times New Roman" w:cs="Arial"/>
          <w:b/>
          <w:lang w:eastAsia="en-GB"/>
        </w:rPr>
        <w:t>6</w:t>
      </w:r>
      <w:r w:rsidRPr="00FB36C0">
        <w:rPr>
          <w:rFonts w:eastAsia="Times New Roman" w:cs="Arial"/>
          <w:b/>
          <w:lang w:eastAsia="en-GB"/>
        </w:rPr>
        <w:tab/>
      </w:r>
      <w:r>
        <w:rPr>
          <w:rFonts w:cs="Arial"/>
          <w:b/>
        </w:rPr>
        <w:t xml:space="preserve">Commissioning </w:t>
      </w:r>
    </w:p>
    <w:p w14:paraId="5CA93591" w14:textId="77777777" w:rsidR="00D40856" w:rsidRDefault="00D40856" w:rsidP="00510203">
      <w:pPr>
        <w:spacing w:after="0"/>
        <w:rPr>
          <w:rFonts w:cs="Arial"/>
          <w:b/>
          <w:u w:val="single"/>
        </w:rPr>
      </w:pPr>
    </w:p>
    <w:tbl>
      <w:tblPr>
        <w:tblW w:w="9753" w:type="dxa"/>
        <w:tblInd w:w="-289" w:type="dxa"/>
        <w:tblLook w:val="04A0" w:firstRow="1" w:lastRow="0" w:firstColumn="1" w:lastColumn="0" w:noHBand="0" w:noVBand="1"/>
      </w:tblPr>
      <w:tblGrid>
        <w:gridCol w:w="851"/>
        <w:gridCol w:w="2839"/>
        <w:gridCol w:w="1196"/>
        <w:gridCol w:w="1409"/>
        <w:gridCol w:w="1152"/>
        <w:gridCol w:w="1154"/>
        <w:gridCol w:w="1152"/>
      </w:tblGrid>
      <w:tr w:rsidR="00510203" w:rsidRPr="001C1000" w14:paraId="6EBF07F6" w14:textId="77777777" w:rsidTr="00E118FC">
        <w:trPr>
          <w:trHeight w:val="1099"/>
        </w:trPr>
        <w:tc>
          <w:tcPr>
            <w:tcW w:w="851" w:type="dxa"/>
            <w:tcBorders>
              <w:top w:val="single" w:sz="4" w:space="0" w:color="auto"/>
              <w:left w:val="single" w:sz="4" w:space="0" w:color="auto"/>
              <w:bottom w:val="nil"/>
              <w:right w:val="single" w:sz="4" w:space="0" w:color="auto"/>
            </w:tcBorders>
            <w:shd w:val="clear" w:color="000000" w:fill="D9D9D9"/>
            <w:vAlign w:val="bottom"/>
            <w:hideMark/>
          </w:tcPr>
          <w:p w14:paraId="63DEF5EE"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Ref</w:t>
            </w:r>
          </w:p>
        </w:tc>
        <w:tc>
          <w:tcPr>
            <w:tcW w:w="2839" w:type="dxa"/>
            <w:tcBorders>
              <w:top w:val="single" w:sz="4" w:space="0" w:color="auto"/>
              <w:left w:val="nil"/>
              <w:bottom w:val="nil"/>
              <w:right w:val="single" w:sz="4" w:space="0" w:color="auto"/>
            </w:tcBorders>
            <w:shd w:val="clear" w:color="000000" w:fill="D9D9D9"/>
            <w:vAlign w:val="bottom"/>
            <w:hideMark/>
          </w:tcPr>
          <w:p w14:paraId="7B8D8705"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HEAD OF SERVICE</w:t>
            </w:r>
          </w:p>
        </w:tc>
        <w:tc>
          <w:tcPr>
            <w:tcW w:w="1196" w:type="dxa"/>
            <w:tcBorders>
              <w:top w:val="single" w:sz="4" w:space="0" w:color="auto"/>
              <w:left w:val="nil"/>
              <w:bottom w:val="nil"/>
              <w:right w:val="single" w:sz="4" w:space="0" w:color="auto"/>
            </w:tcBorders>
            <w:shd w:val="clear" w:color="000000" w:fill="D9D9D9"/>
            <w:vAlign w:val="bottom"/>
            <w:hideMark/>
          </w:tcPr>
          <w:p w14:paraId="7F81C9AB"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Approved Budget</w:t>
            </w:r>
          </w:p>
        </w:tc>
        <w:tc>
          <w:tcPr>
            <w:tcW w:w="1409" w:type="dxa"/>
            <w:tcBorders>
              <w:top w:val="single" w:sz="4" w:space="0" w:color="auto"/>
              <w:left w:val="nil"/>
              <w:bottom w:val="nil"/>
              <w:right w:val="single" w:sz="4" w:space="0" w:color="auto"/>
            </w:tcBorders>
            <w:shd w:val="clear" w:color="000000" w:fill="D9D9D9"/>
            <w:vAlign w:val="bottom"/>
            <w:hideMark/>
          </w:tcPr>
          <w:p w14:paraId="312292E4"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Current Cabinet Forecast Qtr 3</w:t>
            </w:r>
          </w:p>
        </w:tc>
        <w:tc>
          <w:tcPr>
            <w:tcW w:w="1152" w:type="dxa"/>
            <w:tcBorders>
              <w:top w:val="single" w:sz="4" w:space="0" w:color="auto"/>
              <w:left w:val="nil"/>
              <w:bottom w:val="nil"/>
              <w:right w:val="single" w:sz="4" w:space="0" w:color="auto"/>
            </w:tcBorders>
            <w:shd w:val="clear" w:color="000000" w:fill="D9D9D9"/>
            <w:vAlign w:val="bottom"/>
            <w:hideMark/>
          </w:tcPr>
          <w:p w14:paraId="166A12B7"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Current Cabinet Forecast Variance</w:t>
            </w:r>
          </w:p>
        </w:tc>
        <w:tc>
          <w:tcPr>
            <w:tcW w:w="1154" w:type="dxa"/>
            <w:tcBorders>
              <w:top w:val="single" w:sz="4" w:space="0" w:color="auto"/>
              <w:left w:val="nil"/>
              <w:bottom w:val="nil"/>
              <w:right w:val="single" w:sz="4" w:space="0" w:color="auto"/>
            </w:tcBorders>
            <w:shd w:val="clear" w:color="000000" w:fill="D9D9D9"/>
            <w:vAlign w:val="bottom"/>
            <w:hideMark/>
          </w:tcPr>
          <w:p w14:paraId="7E5CC0CE"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Previous Period Forecast Variance Qtr 2</w:t>
            </w:r>
          </w:p>
        </w:tc>
        <w:tc>
          <w:tcPr>
            <w:tcW w:w="1152" w:type="dxa"/>
            <w:tcBorders>
              <w:top w:val="single" w:sz="4" w:space="0" w:color="auto"/>
              <w:left w:val="nil"/>
              <w:bottom w:val="nil"/>
              <w:right w:val="single" w:sz="4" w:space="0" w:color="auto"/>
            </w:tcBorders>
            <w:shd w:val="clear" w:color="000000" w:fill="D9D9D9"/>
            <w:vAlign w:val="bottom"/>
            <w:hideMark/>
          </w:tcPr>
          <w:p w14:paraId="475DA63B"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Current Qtr 3 Forecast Variance</w:t>
            </w:r>
          </w:p>
        </w:tc>
      </w:tr>
      <w:tr w:rsidR="00510203" w:rsidRPr="001C1000" w14:paraId="7524004D" w14:textId="77777777" w:rsidTr="00E118FC">
        <w:trPr>
          <w:trHeight w:val="559"/>
        </w:trPr>
        <w:tc>
          <w:tcPr>
            <w:tcW w:w="851" w:type="dxa"/>
            <w:tcBorders>
              <w:top w:val="nil"/>
              <w:left w:val="single" w:sz="4" w:space="0" w:color="auto"/>
              <w:bottom w:val="single" w:sz="4" w:space="0" w:color="auto"/>
              <w:right w:val="single" w:sz="4" w:space="0" w:color="auto"/>
            </w:tcBorders>
            <w:shd w:val="clear" w:color="000000" w:fill="D9D9D9"/>
            <w:vAlign w:val="bottom"/>
            <w:hideMark/>
          </w:tcPr>
          <w:p w14:paraId="31A1631A" w14:textId="77777777" w:rsidR="00510203" w:rsidRPr="001C1000" w:rsidRDefault="00510203" w:rsidP="00E118FC">
            <w:pPr>
              <w:spacing w:after="0"/>
              <w:jc w:val="center"/>
              <w:rPr>
                <w:rFonts w:eastAsia="Times New Roman" w:cs="Arial"/>
                <w:b/>
                <w:bCs/>
                <w:sz w:val="20"/>
                <w:szCs w:val="20"/>
                <w:lang w:eastAsia="en-GB"/>
              </w:rPr>
            </w:pPr>
          </w:p>
        </w:tc>
        <w:tc>
          <w:tcPr>
            <w:tcW w:w="2839" w:type="dxa"/>
            <w:tcBorders>
              <w:top w:val="nil"/>
              <w:left w:val="nil"/>
              <w:bottom w:val="single" w:sz="4" w:space="0" w:color="auto"/>
              <w:right w:val="single" w:sz="4" w:space="0" w:color="auto"/>
            </w:tcBorders>
            <w:shd w:val="clear" w:color="000000" w:fill="D9D9D9"/>
            <w:vAlign w:val="bottom"/>
            <w:hideMark/>
          </w:tcPr>
          <w:p w14:paraId="1763A44E"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 </w:t>
            </w:r>
          </w:p>
        </w:tc>
        <w:tc>
          <w:tcPr>
            <w:tcW w:w="1196" w:type="dxa"/>
            <w:tcBorders>
              <w:top w:val="nil"/>
              <w:left w:val="nil"/>
              <w:bottom w:val="single" w:sz="4" w:space="0" w:color="auto"/>
              <w:right w:val="single" w:sz="4" w:space="0" w:color="auto"/>
            </w:tcBorders>
            <w:shd w:val="clear" w:color="000000" w:fill="D9D9D9"/>
            <w:vAlign w:val="bottom"/>
            <w:hideMark/>
          </w:tcPr>
          <w:p w14:paraId="64A2FF3A"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£m</w:t>
            </w:r>
          </w:p>
        </w:tc>
        <w:tc>
          <w:tcPr>
            <w:tcW w:w="1409" w:type="dxa"/>
            <w:tcBorders>
              <w:top w:val="nil"/>
              <w:left w:val="nil"/>
              <w:bottom w:val="single" w:sz="4" w:space="0" w:color="auto"/>
              <w:right w:val="single" w:sz="4" w:space="0" w:color="auto"/>
            </w:tcBorders>
            <w:shd w:val="clear" w:color="000000" w:fill="D9D9D9"/>
            <w:vAlign w:val="bottom"/>
            <w:hideMark/>
          </w:tcPr>
          <w:p w14:paraId="5C264B6E"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£m</w:t>
            </w:r>
          </w:p>
        </w:tc>
        <w:tc>
          <w:tcPr>
            <w:tcW w:w="1152" w:type="dxa"/>
            <w:tcBorders>
              <w:top w:val="nil"/>
              <w:left w:val="nil"/>
              <w:bottom w:val="single" w:sz="4" w:space="0" w:color="auto"/>
              <w:right w:val="single" w:sz="4" w:space="0" w:color="auto"/>
            </w:tcBorders>
            <w:shd w:val="clear" w:color="000000" w:fill="D9D9D9"/>
            <w:vAlign w:val="bottom"/>
            <w:hideMark/>
          </w:tcPr>
          <w:p w14:paraId="4428A25D"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£m</w:t>
            </w:r>
          </w:p>
        </w:tc>
        <w:tc>
          <w:tcPr>
            <w:tcW w:w="1154" w:type="dxa"/>
            <w:tcBorders>
              <w:top w:val="nil"/>
              <w:left w:val="nil"/>
              <w:bottom w:val="single" w:sz="4" w:space="0" w:color="auto"/>
              <w:right w:val="single" w:sz="4" w:space="0" w:color="auto"/>
            </w:tcBorders>
            <w:shd w:val="clear" w:color="000000" w:fill="D9D9D9"/>
            <w:vAlign w:val="bottom"/>
            <w:hideMark/>
          </w:tcPr>
          <w:p w14:paraId="65E996BC"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£m</w:t>
            </w:r>
          </w:p>
        </w:tc>
        <w:tc>
          <w:tcPr>
            <w:tcW w:w="1152" w:type="dxa"/>
            <w:tcBorders>
              <w:top w:val="nil"/>
              <w:left w:val="nil"/>
              <w:bottom w:val="single" w:sz="4" w:space="0" w:color="auto"/>
              <w:right w:val="single" w:sz="4" w:space="0" w:color="auto"/>
            </w:tcBorders>
            <w:shd w:val="clear" w:color="000000" w:fill="D9D9D9"/>
            <w:vAlign w:val="bottom"/>
            <w:hideMark/>
          </w:tcPr>
          <w:p w14:paraId="4D48990A"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w:t>
            </w:r>
          </w:p>
        </w:tc>
      </w:tr>
      <w:tr w:rsidR="00510203" w:rsidRPr="001C1000" w14:paraId="5EAC15D9" w14:textId="77777777" w:rsidTr="00E118FC">
        <w:trPr>
          <w:trHeight w:val="559"/>
        </w:trPr>
        <w:tc>
          <w:tcPr>
            <w:tcW w:w="851" w:type="dxa"/>
            <w:tcBorders>
              <w:top w:val="nil"/>
              <w:left w:val="single" w:sz="4" w:space="0" w:color="auto"/>
              <w:bottom w:val="single" w:sz="4" w:space="0" w:color="auto"/>
              <w:right w:val="single" w:sz="4" w:space="0" w:color="auto"/>
            </w:tcBorders>
            <w:shd w:val="clear" w:color="auto" w:fill="auto"/>
            <w:noWrap/>
            <w:hideMark/>
          </w:tcPr>
          <w:p w14:paraId="012C8ADA" w14:textId="77777777" w:rsidR="00510203" w:rsidRPr="001C1000" w:rsidRDefault="00510203" w:rsidP="00E118FC">
            <w:pPr>
              <w:spacing w:after="0"/>
              <w:jc w:val="center"/>
              <w:rPr>
                <w:rFonts w:eastAsia="Times New Roman" w:cs="Arial"/>
                <w:b/>
                <w:sz w:val="20"/>
                <w:szCs w:val="20"/>
                <w:lang w:eastAsia="en-GB"/>
              </w:rPr>
            </w:pPr>
            <w:r w:rsidRPr="001C1000">
              <w:rPr>
                <w:rFonts w:eastAsia="Times New Roman" w:cs="Arial"/>
                <w:b/>
                <w:sz w:val="20"/>
                <w:szCs w:val="20"/>
                <w:lang w:eastAsia="en-GB"/>
              </w:rPr>
              <w:t>3.6.1</w:t>
            </w:r>
          </w:p>
        </w:tc>
        <w:tc>
          <w:tcPr>
            <w:tcW w:w="2839" w:type="dxa"/>
            <w:tcBorders>
              <w:top w:val="single" w:sz="4" w:space="0" w:color="auto"/>
              <w:left w:val="nil"/>
              <w:bottom w:val="single" w:sz="4" w:space="0" w:color="auto"/>
              <w:right w:val="single" w:sz="4" w:space="0" w:color="auto"/>
            </w:tcBorders>
            <w:shd w:val="clear" w:color="auto" w:fill="auto"/>
            <w:hideMark/>
          </w:tcPr>
          <w:p w14:paraId="24D790DC"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ASSET MGT</w:t>
            </w:r>
          </w:p>
        </w:tc>
        <w:tc>
          <w:tcPr>
            <w:tcW w:w="1196" w:type="dxa"/>
            <w:tcBorders>
              <w:top w:val="single" w:sz="4" w:space="0" w:color="auto"/>
              <w:left w:val="nil"/>
              <w:bottom w:val="single" w:sz="4" w:space="0" w:color="auto"/>
              <w:right w:val="single" w:sz="4" w:space="0" w:color="auto"/>
            </w:tcBorders>
            <w:shd w:val="clear" w:color="auto" w:fill="auto"/>
            <w:noWrap/>
            <w:hideMark/>
          </w:tcPr>
          <w:p w14:paraId="7CDCFC38"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9.873 </w:t>
            </w:r>
          </w:p>
        </w:tc>
        <w:tc>
          <w:tcPr>
            <w:tcW w:w="1409" w:type="dxa"/>
            <w:tcBorders>
              <w:top w:val="single" w:sz="4" w:space="0" w:color="auto"/>
              <w:left w:val="nil"/>
              <w:bottom w:val="single" w:sz="4" w:space="0" w:color="auto"/>
              <w:right w:val="single" w:sz="4" w:space="0" w:color="auto"/>
            </w:tcBorders>
            <w:shd w:val="clear" w:color="auto" w:fill="auto"/>
            <w:noWrap/>
            <w:hideMark/>
          </w:tcPr>
          <w:p w14:paraId="44C4F3CE"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8.478 </w:t>
            </w:r>
          </w:p>
        </w:tc>
        <w:tc>
          <w:tcPr>
            <w:tcW w:w="1152" w:type="dxa"/>
            <w:tcBorders>
              <w:top w:val="single" w:sz="4" w:space="0" w:color="auto"/>
              <w:left w:val="nil"/>
              <w:bottom w:val="single" w:sz="4" w:space="0" w:color="auto"/>
              <w:right w:val="single" w:sz="4" w:space="0" w:color="auto"/>
            </w:tcBorders>
            <w:shd w:val="clear" w:color="auto" w:fill="auto"/>
            <w:hideMark/>
          </w:tcPr>
          <w:p w14:paraId="52CA0704"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-1.395 </w:t>
            </w:r>
          </w:p>
        </w:tc>
        <w:tc>
          <w:tcPr>
            <w:tcW w:w="1154" w:type="dxa"/>
            <w:tcBorders>
              <w:top w:val="nil"/>
              <w:left w:val="nil"/>
              <w:bottom w:val="single" w:sz="4" w:space="0" w:color="auto"/>
              <w:right w:val="single" w:sz="4" w:space="0" w:color="auto"/>
            </w:tcBorders>
            <w:shd w:val="clear" w:color="auto" w:fill="auto"/>
            <w:hideMark/>
          </w:tcPr>
          <w:p w14:paraId="2B7C14D9"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-1.821 </w:t>
            </w:r>
          </w:p>
        </w:tc>
        <w:tc>
          <w:tcPr>
            <w:tcW w:w="1152" w:type="dxa"/>
            <w:tcBorders>
              <w:top w:val="single" w:sz="4" w:space="0" w:color="auto"/>
              <w:left w:val="nil"/>
              <w:bottom w:val="single" w:sz="4" w:space="0" w:color="auto"/>
              <w:right w:val="single" w:sz="4" w:space="0" w:color="auto"/>
            </w:tcBorders>
            <w:shd w:val="clear" w:color="auto" w:fill="auto"/>
            <w:hideMark/>
          </w:tcPr>
          <w:p w14:paraId="52388DFD"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-14.13%</w:t>
            </w:r>
          </w:p>
        </w:tc>
      </w:tr>
      <w:tr w:rsidR="00510203" w:rsidRPr="001C1000" w14:paraId="15C76F73" w14:textId="77777777" w:rsidTr="00E118FC">
        <w:trPr>
          <w:trHeight w:val="559"/>
        </w:trPr>
        <w:tc>
          <w:tcPr>
            <w:tcW w:w="851" w:type="dxa"/>
            <w:tcBorders>
              <w:top w:val="nil"/>
              <w:left w:val="single" w:sz="4" w:space="0" w:color="auto"/>
              <w:bottom w:val="single" w:sz="4" w:space="0" w:color="auto"/>
              <w:right w:val="single" w:sz="4" w:space="0" w:color="auto"/>
            </w:tcBorders>
            <w:shd w:val="clear" w:color="000000" w:fill="FFFFFF"/>
            <w:noWrap/>
            <w:hideMark/>
          </w:tcPr>
          <w:p w14:paraId="0ACF181A"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3.6.2</w:t>
            </w:r>
          </w:p>
        </w:tc>
        <w:tc>
          <w:tcPr>
            <w:tcW w:w="2839" w:type="dxa"/>
            <w:tcBorders>
              <w:top w:val="single" w:sz="4" w:space="0" w:color="auto"/>
              <w:left w:val="nil"/>
              <w:bottom w:val="single" w:sz="4" w:space="0" w:color="auto"/>
              <w:right w:val="single" w:sz="4" w:space="0" w:color="auto"/>
            </w:tcBorders>
            <w:shd w:val="clear" w:color="000000" w:fill="FFFFFF"/>
            <w:hideMark/>
          </w:tcPr>
          <w:p w14:paraId="45DC50FF"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POLICY INFO    &amp; COMMISSION AGE WELL</w:t>
            </w:r>
          </w:p>
        </w:tc>
        <w:tc>
          <w:tcPr>
            <w:tcW w:w="1196" w:type="dxa"/>
            <w:tcBorders>
              <w:top w:val="single" w:sz="4" w:space="0" w:color="auto"/>
              <w:left w:val="nil"/>
              <w:bottom w:val="single" w:sz="4" w:space="0" w:color="auto"/>
              <w:right w:val="single" w:sz="4" w:space="0" w:color="auto"/>
            </w:tcBorders>
            <w:shd w:val="clear" w:color="000000" w:fill="FFFFFF"/>
            <w:hideMark/>
          </w:tcPr>
          <w:p w14:paraId="301C1F47"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0.521 </w:t>
            </w:r>
          </w:p>
        </w:tc>
        <w:tc>
          <w:tcPr>
            <w:tcW w:w="1409" w:type="dxa"/>
            <w:tcBorders>
              <w:top w:val="single" w:sz="4" w:space="0" w:color="auto"/>
              <w:left w:val="nil"/>
              <w:bottom w:val="single" w:sz="4" w:space="0" w:color="auto"/>
              <w:right w:val="single" w:sz="4" w:space="0" w:color="auto"/>
            </w:tcBorders>
            <w:shd w:val="clear" w:color="000000" w:fill="FFFFFF"/>
            <w:hideMark/>
          </w:tcPr>
          <w:p w14:paraId="41E8BC10"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0.521 </w:t>
            </w:r>
          </w:p>
        </w:tc>
        <w:tc>
          <w:tcPr>
            <w:tcW w:w="1152" w:type="dxa"/>
            <w:tcBorders>
              <w:top w:val="single" w:sz="4" w:space="0" w:color="auto"/>
              <w:left w:val="nil"/>
              <w:bottom w:val="single" w:sz="4" w:space="0" w:color="auto"/>
              <w:right w:val="single" w:sz="4" w:space="0" w:color="auto"/>
            </w:tcBorders>
            <w:shd w:val="clear" w:color="auto" w:fill="auto"/>
            <w:hideMark/>
          </w:tcPr>
          <w:p w14:paraId="1883806A"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0.000 </w:t>
            </w:r>
          </w:p>
        </w:tc>
        <w:tc>
          <w:tcPr>
            <w:tcW w:w="1154" w:type="dxa"/>
            <w:tcBorders>
              <w:top w:val="nil"/>
              <w:left w:val="nil"/>
              <w:bottom w:val="single" w:sz="4" w:space="0" w:color="auto"/>
              <w:right w:val="single" w:sz="4" w:space="0" w:color="auto"/>
            </w:tcBorders>
            <w:shd w:val="clear" w:color="auto" w:fill="auto"/>
            <w:hideMark/>
          </w:tcPr>
          <w:p w14:paraId="07E22ABE"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0.000 </w:t>
            </w:r>
          </w:p>
        </w:tc>
        <w:tc>
          <w:tcPr>
            <w:tcW w:w="1152" w:type="dxa"/>
            <w:tcBorders>
              <w:top w:val="single" w:sz="4" w:space="0" w:color="auto"/>
              <w:left w:val="nil"/>
              <w:bottom w:val="single" w:sz="4" w:space="0" w:color="auto"/>
              <w:right w:val="single" w:sz="4" w:space="0" w:color="auto"/>
            </w:tcBorders>
            <w:shd w:val="clear" w:color="auto" w:fill="auto"/>
            <w:hideMark/>
          </w:tcPr>
          <w:p w14:paraId="0A8E7266"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0.00%</w:t>
            </w:r>
          </w:p>
        </w:tc>
      </w:tr>
      <w:tr w:rsidR="00510203" w:rsidRPr="001C1000" w14:paraId="5604724D" w14:textId="77777777" w:rsidTr="00E118FC">
        <w:trPr>
          <w:trHeight w:val="559"/>
        </w:trPr>
        <w:tc>
          <w:tcPr>
            <w:tcW w:w="851" w:type="dxa"/>
            <w:tcBorders>
              <w:top w:val="nil"/>
              <w:left w:val="single" w:sz="4" w:space="0" w:color="auto"/>
              <w:bottom w:val="single" w:sz="4" w:space="0" w:color="auto"/>
              <w:right w:val="single" w:sz="4" w:space="0" w:color="auto"/>
            </w:tcBorders>
            <w:shd w:val="clear" w:color="000000" w:fill="FFFFFF"/>
            <w:noWrap/>
            <w:hideMark/>
          </w:tcPr>
          <w:p w14:paraId="1F0B51B1"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3.6.3</w:t>
            </w:r>
          </w:p>
        </w:tc>
        <w:tc>
          <w:tcPr>
            <w:tcW w:w="2839" w:type="dxa"/>
            <w:tcBorders>
              <w:top w:val="nil"/>
              <w:left w:val="nil"/>
              <w:bottom w:val="single" w:sz="4" w:space="0" w:color="auto"/>
              <w:right w:val="single" w:sz="4" w:space="0" w:color="auto"/>
            </w:tcBorders>
            <w:shd w:val="clear" w:color="000000" w:fill="FFFFFF"/>
            <w:hideMark/>
          </w:tcPr>
          <w:p w14:paraId="1049AEA6"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POLICY  INFO    &amp; COMMISSION LIVE WELL</w:t>
            </w:r>
          </w:p>
        </w:tc>
        <w:tc>
          <w:tcPr>
            <w:tcW w:w="1196" w:type="dxa"/>
            <w:tcBorders>
              <w:top w:val="nil"/>
              <w:left w:val="nil"/>
              <w:bottom w:val="single" w:sz="4" w:space="0" w:color="auto"/>
              <w:right w:val="single" w:sz="4" w:space="0" w:color="auto"/>
            </w:tcBorders>
            <w:shd w:val="clear" w:color="000000" w:fill="FFFFFF"/>
            <w:hideMark/>
          </w:tcPr>
          <w:p w14:paraId="75BDC462"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0.543 </w:t>
            </w:r>
          </w:p>
        </w:tc>
        <w:tc>
          <w:tcPr>
            <w:tcW w:w="1409" w:type="dxa"/>
            <w:tcBorders>
              <w:top w:val="nil"/>
              <w:left w:val="nil"/>
              <w:bottom w:val="single" w:sz="4" w:space="0" w:color="auto"/>
              <w:right w:val="single" w:sz="4" w:space="0" w:color="auto"/>
            </w:tcBorders>
            <w:shd w:val="clear" w:color="000000" w:fill="FFFFFF"/>
            <w:hideMark/>
          </w:tcPr>
          <w:p w14:paraId="0C23D8A5"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0.543 </w:t>
            </w:r>
          </w:p>
        </w:tc>
        <w:tc>
          <w:tcPr>
            <w:tcW w:w="1152" w:type="dxa"/>
            <w:tcBorders>
              <w:top w:val="nil"/>
              <w:left w:val="nil"/>
              <w:bottom w:val="single" w:sz="4" w:space="0" w:color="auto"/>
              <w:right w:val="single" w:sz="4" w:space="0" w:color="auto"/>
            </w:tcBorders>
            <w:shd w:val="clear" w:color="auto" w:fill="auto"/>
            <w:hideMark/>
          </w:tcPr>
          <w:p w14:paraId="563ADAED"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0.000 </w:t>
            </w:r>
          </w:p>
        </w:tc>
        <w:tc>
          <w:tcPr>
            <w:tcW w:w="1154" w:type="dxa"/>
            <w:tcBorders>
              <w:top w:val="nil"/>
              <w:left w:val="nil"/>
              <w:bottom w:val="single" w:sz="4" w:space="0" w:color="auto"/>
              <w:right w:val="single" w:sz="4" w:space="0" w:color="auto"/>
            </w:tcBorders>
            <w:shd w:val="clear" w:color="auto" w:fill="auto"/>
            <w:hideMark/>
          </w:tcPr>
          <w:p w14:paraId="2AED9DA6"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0.000 </w:t>
            </w:r>
          </w:p>
        </w:tc>
        <w:tc>
          <w:tcPr>
            <w:tcW w:w="1152" w:type="dxa"/>
            <w:tcBorders>
              <w:top w:val="nil"/>
              <w:left w:val="nil"/>
              <w:bottom w:val="single" w:sz="4" w:space="0" w:color="auto"/>
              <w:right w:val="single" w:sz="4" w:space="0" w:color="auto"/>
            </w:tcBorders>
            <w:shd w:val="clear" w:color="auto" w:fill="auto"/>
            <w:hideMark/>
          </w:tcPr>
          <w:p w14:paraId="78C5C431"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0.00%</w:t>
            </w:r>
          </w:p>
        </w:tc>
      </w:tr>
      <w:tr w:rsidR="00510203" w:rsidRPr="001C1000" w14:paraId="0A899BC5" w14:textId="77777777" w:rsidTr="00E118FC">
        <w:trPr>
          <w:trHeight w:val="559"/>
        </w:trPr>
        <w:tc>
          <w:tcPr>
            <w:tcW w:w="851" w:type="dxa"/>
            <w:tcBorders>
              <w:top w:val="nil"/>
              <w:left w:val="single" w:sz="4" w:space="0" w:color="auto"/>
              <w:bottom w:val="single" w:sz="4" w:space="0" w:color="auto"/>
              <w:right w:val="single" w:sz="4" w:space="0" w:color="auto"/>
            </w:tcBorders>
            <w:shd w:val="clear" w:color="000000" w:fill="FFFFFF"/>
            <w:noWrap/>
            <w:hideMark/>
          </w:tcPr>
          <w:p w14:paraId="03A1E066"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3.6.4</w:t>
            </w:r>
          </w:p>
        </w:tc>
        <w:tc>
          <w:tcPr>
            <w:tcW w:w="2839" w:type="dxa"/>
            <w:tcBorders>
              <w:top w:val="nil"/>
              <w:left w:val="nil"/>
              <w:bottom w:val="single" w:sz="4" w:space="0" w:color="auto"/>
              <w:right w:val="single" w:sz="4" w:space="0" w:color="auto"/>
            </w:tcBorders>
            <w:shd w:val="clear" w:color="000000" w:fill="FFFFFF"/>
            <w:hideMark/>
          </w:tcPr>
          <w:p w14:paraId="742A5629"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POLICY INFO  &amp; COMMISSION START WELL</w:t>
            </w:r>
          </w:p>
        </w:tc>
        <w:tc>
          <w:tcPr>
            <w:tcW w:w="1196" w:type="dxa"/>
            <w:tcBorders>
              <w:top w:val="nil"/>
              <w:left w:val="nil"/>
              <w:bottom w:val="single" w:sz="4" w:space="0" w:color="auto"/>
              <w:right w:val="single" w:sz="4" w:space="0" w:color="auto"/>
            </w:tcBorders>
            <w:shd w:val="clear" w:color="000000" w:fill="FFFFFF"/>
            <w:hideMark/>
          </w:tcPr>
          <w:p w14:paraId="17384A13"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0.594 </w:t>
            </w:r>
          </w:p>
        </w:tc>
        <w:tc>
          <w:tcPr>
            <w:tcW w:w="1409" w:type="dxa"/>
            <w:tcBorders>
              <w:top w:val="nil"/>
              <w:left w:val="nil"/>
              <w:bottom w:val="single" w:sz="4" w:space="0" w:color="auto"/>
              <w:right w:val="single" w:sz="4" w:space="0" w:color="auto"/>
            </w:tcBorders>
            <w:shd w:val="clear" w:color="000000" w:fill="FFFFFF"/>
            <w:hideMark/>
          </w:tcPr>
          <w:p w14:paraId="657E7306"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0.594 </w:t>
            </w:r>
          </w:p>
        </w:tc>
        <w:tc>
          <w:tcPr>
            <w:tcW w:w="1152" w:type="dxa"/>
            <w:tcBorders>
              <w:top w:val="nil"/>
              <w:left w:val="nil"/>
              <w:bottom w:val="single" w:sz="4" w:space="0" w:color="auto"/>
              <w:right w:val="single" w:sz="4" w:space="0" w:color="auto"/>
            </w:tcBorders>
            <w:shd w:val="clear" w:color="auto" w:fill="auto"/>
            <w:hideMark/>
          </w:tcPr>
          <w:p w14:paraId="3F0F88E4"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0.000 </w:t>
            </w:r>
          </w:p>
        </w:tc>
        <w:tc>
          <w:tcPr>
            <w:tcW w:w="1154" w:type="dxa"/>
            <w:tcBorders>
              <w:top w:val="nil"/>
              <w:left w:val="nil"/>
              <w:bottom w:val="single" w:sz="4" w:space="0" w:color="auto"/>
              <w:right w:val="single" w:sz="4" w:space="0" w:color="auto"/>
            </w:tcBorders>
            <w:shd w:val="clear" w:color="auto" w:fill="auto"/>
            <w:hideMark/>
          </w:tcPr>
          <w:p w14:paraId="52037941"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0.000 </w:t>
            </w:r>
          </w:p>
        </w:tc>
        <w:tc>
          <w:tcPr>
            <w:tcW w:w="1152" w:type="dxa"/>
            <w:tcBorders>
              <w:top w:val="nil"/>
              <w:left w:val="nil"/>
              <w:bottom w:val="single" w:sz="4" w:space="0" w:color="auto"/>
              <w:right w:val="single" w:sz="4" w:space="0" w:color="auto"/>
            </w:tcBorders>
            <w:shd w:val="clear" w:color="auto" w:fill="auto"/>
            <w:hideMark/>
          </w:tcPr>
          <w:p w14:paraId="6A4F9810"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0.00%</w:t>
            </w:r>
          </w:p>
        </w:tc>
      </w:tr>
      <w:tr w:rsidR="00510203" w:rsidRPr="001C1000" w14:paraId="3C6B9701" w14:textId="77777777" w:rsidTr="00E118FC">
        <w:trPr>
          <w:trHeight w:val="559"/>
        </w:trPr>
        <w:tc>
          <w:tcPr>
            <w:tcW w:w="851" w:type="dxa"/>
            <w:tcBorders>
              <w:top w:val="nil"/>
              <w:left w:val="single" w:sz="4" w:space="0" w:color="auto"/>
              <w:bottom w:val="single" w:sz="4" w:space="0" w:color="auto"/>
              <w:right w:val="single" w:sz="4" w:space="0" w:color="auto"/>
            </w:tcBorders>
            <w:shd w:val="clear" w:color="000000" w:fill="FFFFFF"/>
            <w:noWrap/>
            <w:hideMark/>
          </w:tcPr>
          <w:p w14:paraId="5C299501"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3.6.5</w:t>
            </w:r>
          </w:p>
        </w:tc>
        <w:tc>
          <w:tcPr>
            <w:tcW w:w="2839" w:type="dxa"/>
            <w:tcBorders>
              <w:top w:val="nil"/>
              <w:left w:val="nil"/>
              <w:bottom w:val="single" w:sz="4" w:space="0" w:color="auto"/>
              <w:right w:val="single" w:sz="4" w:space="0" w:color="auto"/>
            </w:tcBorders>
            <w:shd w:val="clear" w:color="000000" w:fill="FFFFFF"/>
            <w:hideMark/>
          </w:tcPr>
          <w:p w14:paraId="4246294B"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PROCUREMENT</w:t>
            </w:r>
          </w:p>
        </w:tc>
        <w:tc>
          <w:tcPr>
            <w:tcW w:w="1196" w:type="dxa"/>
            <w:tcBorders>
              <w:top w:val="nil"/>
              <w:left w:val="nil"/>
              <w:bottom w:val="single" w:sz="4" w:space="0" w:color="auto"/>
              <w:right w:val="single" w:sz="4" w:space="0" w:color="auto"/>
            </w:tcBorders>
            <w:shd w:val="clear" w:color="000000" w:fill="FFFFFF"/>
            <w:hideMark/>
          </w:tcPr>
          <w:p w14:paraId="18AB0B99"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1.547 </w:t>
            </w:r>
          </w:p>
        </w:tc>
        <w:tc>
          <w:tcPr>
            <w:tcW w:w="1409" w:type="dxa"/>
            <w:tcBorders>
              <w:top w:val="nil"/>
              <w:left w:val="nil"/>
              <w:bottom w:val="single" w:sz="4" w:space="0" w:color="auto"/>
              <w:right w:val="single" w:sz="4" w:space="0" w:color="auto"/>
            </w:tcBorders>
            <w:shd w:val="clear" w:color="000000" w:fill="FFFFFF"/>
            <w:hideMark/>
          </w:tcPr>
          <w:p w14:paraId="74E8AEE4"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1.332 </w:t>
            </w:r>
          </w:p>
        </w:tc>
        <w:tc>
          <w:tcPr>
            <w:tcW w:w="1152" w:type="dxa"/>
            <w:tcBorders>
              <w:top w:val="nil"/>
              <w:left w:val="nil"/>
              <w:bottom w:val="single" w:sz="4" w:space="0" w:color="auto"/>
              <w:right w:val="single" w:sz="4" w:space="0" w:color="auto"/>
            </w:tcBorders>
            <w:shd w:val="clear" w:color="auto" w:fill="auto"/>
            <w:hideMark/>
          </w:tcPr>
          <w:p w14:paraId="1D8A5784"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-0.215 </w:t>
            </w:r>
          </w:p>
        </w:tc>
        <w:tc>
          <w:tcPr>
            <w:tcW w:w="1154" w:type="dxa"/>
            <w:tcBorders>
              <w:top w:val="nil"/>
              <w:left w:val="nil"/>
              <w:bottom w:val="single" w:sz="4" w:space="0" w:color="auto"/>
              <w:right w:val="single" w:sz="4" w:space="0" w:color="auto"/>
            </w:tcBorders>
            <w:shd w:val="clear" w:color="auto" w:fill="auto"/>
            <w:hideMark/>
          </w:tcPr>
          <w:p w14:paraId="5F4C3200"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-0.215 </w:t>
            </w:r>
          </w:p>
        </w:tc>
        <w:tc>
          <w:tcPr>
            <w:tcW w:w="1152" w:type="dxa"/>
            <w:tcBorders>
              <w:top w:val="nil"/>
              <w:left w:val="nil"/>
              <w:bottom w:val="single" w:sz="4" w:space="0" w:color="auto"/>
              <w:right w:val="single" w:sz="4" w:space="0" w:color="auto"/>
            </w:tcBorders>
            <w:shd w:val="clear" w:color="auto" w:fill="auto"/>
            <w:hideMark/>
          </w:tcPr>
          <w:p w14:paraId="09271C0B"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-13.90%</w:t>
            </w:r>
          </w:p>
        </w:tc>
      </w:tr>
      <w:tr w:rsidR="00510203" w:rsidRPr="001C1000" w14:paraId="7942DA36" w14:textId="77777777" w:rsidTr="00E118FC">
        <w:trPr>
          <w:trHeight w:val="559"/>
        </w:trPr>
        <w:tc>
          <w:tcPr>
            <w:tcW w:w="851" w:type="dxa"/>
            <w:tcBorders>
              <w:top w:val="nil"/>
              <w:left w:val="single" w:sz="4" w:space="0" w:color="auto"/>
              <w:bottom w:val="single" w:sz="4" w:space="0" w:color="auto"/>
              <w:right w:val="single" w:sz="4" w:space="0" w:color="auto"/>
            </w:tcBorders>
            <w:shd w:val="clear" w:color="000000" w:fill="FFFFFF"/>
            <w:noWrap/>
            <w:hideMark/>
          </w:tcPr>
          <w:p w14:paraId="068CE65F"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3.6.6</w:t>
            </w:r>
          </w:p>
        </w:tc>
        <w:tc>
          <w:tcPr>
            <w:tcW w:w="2839" w:type="dxa"/>
            <w:tcBorders>
              <w:top w:val="nil"/>
              <w:left w:val="nil"/>
              <w:bottom w:val="single" w:sz="4" w:space="0" w:color="auto"/>
              <w:right w:val="single" w:sz="4" w:space="0" w:color="auto"/>
            </w:tcBorders>
            <w:shd w:val="clear" w:color="000000" w:fill="FFFFFF"/>
            <w:hideMark/>
          </w:tcPr>
          <w:p w14:paraId="666E784A"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BUSINESS INTELLIGENCE</w:t>
            </w:r>
          </w:p>
        </w:tc>
        <w:tc>
          <w:tcPr>
            <w:tcW w:w="1196" w:type="dxa"/>
            <w:tcBorders>
              <w:top w:val="nil"/>
              <w:left w:val="nil"/>
              <w:bottom w:val="single" w:sz="4" w:space="0" w:color="auto"/>
              <w:right w:val="single" w:sz="4" w:space="0" w:color="auto"/>
            </w:tcBorders>
            <w:shd w:val="clear" w:color="000000" w:fill="FFFFFF"/>
            <w:hideMark/>
          </w:tcPr>
          <w:p w14:paraId="3709AE69"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0.903 </w:t>
            </w:r>
          </w:p>
        </w:tc>
        <w:tc>
          <w:tcPr>
            <w:tcW w:w="1409" w:type="dxa"/>
            <w:tcBorders>
              <w:top w:val="nil"/>
              <w:left w:val="nil"/>
              <w:bottom w:val="single" w:sz="4" w:space="0" w:color="auto"/>
              <w:right w:val="single" w:sz="4" w:space="0" w:color="auto"/>
            </w:tcBorders>
            <w:shd w:val="clear" w:color="000000" w:fill="FFFFFF"/>
            <w:hideMark/>
          </w:tcPr>
          <w:p w14:paraId="0974D1D5"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0.811 </w:t>
            </w:r>
          </w:p>
        </w:tc>
        <w:tc>
          <w:tcPr>
            <w:tcW w:w="1152" w:type="dxa"/>
            <w:tcBorders>
              <w:top w:val="nil"/>
              <w:left w:val="nil"/>
              <w:bottom w:val="single" w:sz="4" w:space="0" w:color="auto"/>
              <w:right w:val="single" w:sz="4" w:space="0" w:color="auto"/>
            </w:tcBorders>
            <w:shd w:val="clear" w:color="auto" w:fill="auto"/>
            <w:hideMark/>
          </w:tcPr>
          <w:p w14:paraId="61A28A21"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-0.092 </w:t>
            </w:r>
          </w:p>
        </w:tc>
        <w:tc>
          <w:tcPr>
            <w:tcW w:w="1154" w:type="dxa"/>
            <w:tcBorders>
              <w:top w:val="nil"/>
              <w:left w:val="nil"/>
              <w:bottom w:val="single" w:sz="4" w:space="0" w:color="auto"/>
              <w:right w:val="single" w:sz="4" w:space="0" w:color="auto"/>
            </w:tcBorders>
            <w:shd w:val="clear" w:color="auto" w:fill="auto"/>
            <w:hideMark/>
          </w:tcPr>
          <w:p w14:paraId="339A0535"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-0.039 </w:t>
            </w:r>
          </w:p>
        </w:tc>
        <w:tc>
          <w:tcPr>
            <w:tcW w:w="1152" w:type="dxa"/>
            <w:tcBorders>
              <w:top w:val="nil"/>
              <w:left w:val="nil"/>
              <w:bottom w:val="single" w:sz="4" w:space="0" w:color="auto"/>
              <w:right w:val="single" w:sz="4" w:space="0" w:color="auto"/>
            </w:tcBorders>
            <w:shd w:val="clear" w:color="auto" w:fill="auto"/>
            <w:hideMark/>
          </w:tcPr>
          <w:p w14:paraId="36C68757"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-10.19%</w:t>
            </w:r>
          </w:p>
        </w:tc>
      </w:tr>
      <w:tr w:rsidR="00510203" w:rsidRPr="001C1000" w14:paraId="2BFD6C94" w14:textId="77777777" w:rsidTr="00E118FC">
        <w:trPr>
          <w:trHeight w:val="559"/>
        </w:trPr>
        <w:tc>
          <w:tcPr>
            <w:tcW w:w="851" w:type="dxa"/>
            <w:tcBorders>
              <w:top w:val="nil"/>
              <w:left w:val="single" w:sz="4" w:space="0" w:color="auto"/>
              <w:bottom w:val="single" w:sz="4" w:space="0" w:color="auto"/>
              <w:right w:val="single" w:sz="4" w:space="0" w:color="auto"/>
            </w:tcBorders>
            <w:shd w:val="clear" w:color="auto" w:fill="auto"/>
            <w:noWrap/>
            <w:hideMark/>
          </w:tcPr>
          <w:p w14:paraId="14BA4002" w14:textId="77777777" w:rsidR="00510203" w:rsidRPr="001C1000" w:rsidRDefault="00510203" w:rsidP="00E118FC">
            <w:pPr>
              <w:spacing w:after="0"/>
              <w:jc w:val="center"/>
              <w:rPr>
                <w:rFonts w:eastAsia="Times New Roman" w:cs="Arial"/>
                <w:b/>
                <w:sz w:val="20"/>
                <w:szCs w:val="20"/>
                <w:lang w:eastAsia="en-GB"/>
              </w:rPr>
            </w:pPr>
            <w:r w:rsidRPr="001C1000">
              <w:rPr>
                <w:rFonts w:eastAsia="Times New Roman" w:cs="Arial"/>
                <w:b/>
                <w:sz w:val="20"/>
                <w:szCs w:val="20"/>
                <w:lang w:eastAsia="en-GB"/>
              </w:rPr>
              <w:t>3.6.7</w:t>
            </w:r>
          </w:p>
        </w:tc>
        <w:tc>
          <w:tcPr>
            <w:tcW w:w="2839" w:type="dxa"/>
            <w:tcBorders>
              <w:top w:val="single" w:sz="4" w:space="0" w:color="auto"/>
              <w:left w:val="nil"/>
              <w:bottom w:val="single" w:sz="4" w:space="0" w:color="auto"/>
              <w:right w:val="single" w:sz="4" w:space="0" w:color="auto"/>
            </w:tcBorders>
            <w:shd w:val="clear" w:color="000000" w:fill="FFFFFF"/>
            <w:hideMark/>
          </w:tcPr>
          <w:p w14:paraId="48363FE7"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EXCHEQUER SERVICES</w:t>
            </w:r>
          </w:p>
        </w:tc>
        <w:tc>
          <w:tcPr>
            <w:tcW w:w="1196" w:type="dxa"/>
            <w:tcBorders>
              <w:top w:val="single" w:sz="4" w:space="0" w:color="auto"/>
              <w:left w:val="nil"/>
              <w:bottom w:val="single" w:sz="4" w:space="0" w:color="auto"/>
              <w:right w:val="single" w:sz="4" w:space="0" w:color="auto"/>
            </w:tcBorders>
            <w:shd w:val="clear" w:color="000000" w:fill="FFFFFF"/>
            <w:hideMark/>
          </w:tcPr>
          <w:p w14:paraId="643E5D14"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3.088 </w:t>
            </w:r>
          </w:p>
        </w:tc>
        <w:tc>
          <w:tcPr>
            <w:tcW w:w="1409" w:type="dxa"/>
            <w:tcBorders>
              <w:top w:val="single" w:sz="4" w:space="0" w:color="auto"/>
              <w:left w:val="nil"/>
              <w:bottom w:val="single" w:sz="4" w:space="0" w:color="auto"/>
              <w:right w:val="single" w:sz="4" w:space="0" w:color="auto"/>
            </w:tcBorders>
            <w:shd w:val="clear" w:color="000000" w:fill="FFFFFF"/>
            <w:hideMark/>
          </w:tcPr>
          <w:p w14:paraId="4785B224" w14:textId="05092A25" w:rsidR="00510203" w:rsidRPr="001C1000" w:rsidRDefault="00510203" w:rsidP="007C37A7">
            <w:pPr>
              <w:spacing w:after="0"/>
              <w:jc w:val="right"/>
              <w:rPr>
                <w:rFonts w:eastAsia="Times New Roman" w:cs="Arial"/>
                <w:sz w:val="20"/>
                <w:szCs w:val="20"/>
                <w:lang w:eastAsia="en-GB"/>
              </w:rPr>
            </w:pPr>
            <w:r w:rsidRPr="001C1000">
              <w:rPr>
                <w:rFonts w:eastAsia="Times New Roman" w:cs="Arial"/>
                <w:sz w:val="20"/>
                <w:szCs w:val="20"/>
                <w:lang w:eastAsia="en-GB"/>
              </w:rPr>
              <w:t>2.</w:t>
            </w:r>
            <w:r w:rsidR="007C37A7">
              <w:rPr>
                <w:rFonts w:eastAsia="Times New Roman" w:cs="Arial"/>
                <w:sz w:val="20"/>
                <w:szCs w:val="20"/>
                <w:lang w:eastAsia="en-GB"/>
              </w:rPr>
              <w:t>542</w:t>
            </w:r>
            <w:r w:rsidRPr="001C1000">
              <w:rPr>
                <w:rFonts w:eastAsia="Times New Roman" w:cs="Arial"/>
                <w:sz w:val="20"/>
                <w:szCs w:val="20"/>
                <w:lang w:eastAsia="en-GB"/>
              </w:rPr>
              <w:t xml:space="preserve"> </w:t>
            </w:r>
          </w:p>
        </w:tc>
        <w:tc>
          <w:tcPr>
            <w:tcW w:w="1152" w:type="dxa"/>
            <w:tcBorders>
              <w:top w:val="nil"/>
              <w:left w:val="nil"/>
              <w:bottom w:val="single" w:sz="4" w:space="0" w:color="auto"/>
              <w:right w:val="single" w:sz="4" w:space="0" w:color="auto"/>
            </w:tcBorders>
            <w:shd w:val="clear" w:color="auto" w:fill="auto"/>
            <w:hideMark/>
          </w:tcPr>
          <w:p w14:paraId="6F0FDBCD" w14:textId="05289430" w:rsidR="00510203" w:rsidRPr="001C1000" w:rsidRDefault="00510203" w:rsidP="007C37A7">
            <w:pPr>
              <w:spacing w:after="0"/>
              <w:jc w:val="right"/>
              <w:rPr>
                <w:rFonts w:eastAsia="Times New Roman" w:cs="Arial"/>
                <w:sz w:val="20"/>
                <w:szCs w:val="20"/>
                <w:lang w:eastAsia="en-GB"/>
              </w:rPr>
            </w:pPr>
            <w:r w:rsidRPr="001C1000">
              <w:rPr>
                <w:rFonts w:eastAsia="Times New Roman" w:cs="Arial"/>
                <w:sz w:val="20"/>
                <w:szCs w:val="20"/>
                <w:lang w:eastAsia="en-GB"/>
              </w:rPr>
              <w:t>-0.</w:t>
            </w:r>
            <w:r w:rsidR="007C37A7">
              <w:rPr>
                <w:rFonts w:eastAsia="Times New Roman" w:cs="Arial"/>
                <w:sz w:val="20"/>
                <w:szCs w:val="20"/>
                <w:lang w:eastAsia="en-GB"/>
              </w:rPr>
              <w:t>546</w:t>
            </w:r>
            <w:r w:rsidRPr="001C1000">
              <w:rPr>
                <w:rFonts w:eastAsia="Times New Roman" w:cs="Arial"/>
                <w:sz w:val="20"/>
                <w:szCs w:val="20"/>
                <w:lang w:eastAsia="en-GB"/>
              </w:rPr>
              <w:t xml:space="preserve"> </w:t>
            </w:r>
          </w:p>
        </w:tc>
        <w:tc>
          <w:tcPr>
            <w:tcW w:w="1154" w:type="dxa"/>
            <w:tcBorders>
              <w:top w:val="single" w:sz="4" w:space="0" w:color="auto"/>
              <w:left w:val="nil"/>
              <w:bottom w:val="single" w:sz="4" w:space="0" w:color="auto"/>
              <w:right w:val="single" w:sz="4" w:space="0" w:color="auto"/>
            </w:tcBorders>
            <w:shd w:val="clear" w:color="auto" w:fill="auto"/>
            <w:hideMark/>
          </w:tcPr>
          <w:p w14:paraId="4E7047AD"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-0.546 </w:t>
            </w:r>
          </w:p>
        </w:tc>
        <w:tc>
          <w:tcPr>
            <w:tcW w:w="1152" w:type="dxa"/>
            <w:tcBorders>
              <w:top w:val="single" w:sz="4" w:space="0" w:color="auto"/>
              <w:left w:val="nil"/>
              <w:bottom w:val="single" w:sz="4" w:space="0" w:color="auto"/>
              <w:right w:val="single" w:sz="4" w:space="0" w:color="auto"/>
            </w:tcBorders>
            <w:shd w:val="clear" w:color="auto" w:fill="auto"/>
            <w:hideMark/>
          </w:tcPr>
          <w:p w14:paraId="447A8998" w14:textId="763842F2" w:rsidR="00510203" w:rsidRPr="001C1000" w:rsidRDefault="00076AE8" w:rsidP="00E118FC">
            <w:pPr>
              <w:spacing w:after="0"/>
              <w:jc w:val="right"/>
              <w:rPr>
                <w:rFonts w:eastAsia="Times New Roman" w:cs="Arial"/>
                <w:sz w:val="20"/>
                <w:szCs w:val="20"/>
                <w:lang w:eastAsia="en-GB"/>
              </w:rPr>
            </w:pPr>
            <w:r>
              <w:rPr>
                <w:rFonts w:eastAsia="Times New Roman" w:cs="Arial"/>
                <w:sz w:val="20"/>
                <w:szCs w:val="20"/>
                <w:lang w:eastAsia="en-GB"/>
              </w:rPr>
              <w:t>-17.68</w:t>
            </w:r>
            <w:r w:rsidR="00510203" w:rsidRPr="001C1000">
              <w:rPr>
                <w:rFonts w:eastAsia="Times New Roman" w:cs="Arial"/>
                <w:sz w:val="20"/>
                <w:szCs w:val="20"/>
                <w:lang w:eastAsia="en-GB"/>
              </w:rPr>
              <w:t>%</w:t>
            </w:r>
          </w:p>
        </w:tc>
      </w:tr>
      <w:tr w:rsidR="00510203" w:rsidRPr="001C1000" w14:paraId="6896FE07" w14:textId="77777777" w:rsidTr="00E118FC">
        <w:trPr>
          <w:trHeight w:val="559"/>
        </w:trPr>
        <w:tc>
          <w:tcPr>
            <w:tcW w:w="851" w:type="dxa"/>
            <w:tcBorders>
              <w:top w:val="nil"/>
              <w:left w:val="single" w:sz="4" w:space="0" w:color="auto"/>
              <w:bottom w:val="single" w:sz="4" w:space="0" w:color="auto"/>
              <w:right w:val="single" w:sz="4" w:space="0" w:color="auto"/>
            </w:tcBorders>
            <w:shd w:val="clear" w:color="000000" w:fill="FFFFFF"/>
            <w:noWrap/>
            <w:hideMark/>
          </w:tcPr>
          <w:p w14:paraId="343B33DF"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3.6.8</w:t>
            </w:r>
          </w:p>
        </w:tc>
        <w:tc>
          <w:tcPr>
            <w:tcW w:w="2839" w:type="dxa"/>
            <w:tcBorders>
              <w:top w:val="nil"/>
              <w:left w:val="nil"/>
              <w:bottom w:val="single" w:sz="4" w:space="0" w:color="auto"/>
              <w:right w:val="single" w:sz="4" w:space="0" w:color="auto"/>
            </w:tcBorders>
            <w:shd w:val="clear" w:color="000000" w:fill="FFFFFF"/>
            <w:hideMark/>
          </w:tcPr>
          <w:p w14:paraId="5E41BE23"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FINANCIAL MGT (DEVELOPMENT AND SCHOOLS)</w:t>
            </w:r>
          </w:p>
        </w:tc>
        <w:tc>
          <w:tcPr>
            <w:tcW w:w="1196" w:type="dxa"/>
            <w:tcBorders>
              <w:top w:val="nil"/>
              <w:left w:val="nil"/>
              <w:bottom w:val="single" w:sz="4" w:space="0" w:color="auto"/>
              <w:right w:val="single" w:sz="4" w:space="0" w:color="auto"/>
            </w:tcBorders>
            <w:shd w:val="clear" w:color="000000" w:fill="FFFFFF"/>
            <w:hideMark/>
          </w:tcPr>
          <w:p w14:paraId="1B283389"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0.261 </w:t>
            </w:r>
          </w:p>
        </w:tc>
        <w:tc>
          <w:tcPr>
            <w:tcW w:w="1409" w:type="dxa"/>
            <w:tcBorders>
              <w:top w:val="nil"/>
              <w:left w:val="nil"/>
              <w:bottom w:val="single" w:sz="4" w:space="0" w:color="auto"/>
              <w:right w:val="single" w:sz="4" w:space="0" w:color="auto"/>
            </w:tcBorders>
            <w:shd w:val="clear" w:color="000000" w:fill="FFFFFF"/>
            <w:hideMark/>
          </w:tcPr>
          <w:p w14:paraId="704DDB0B"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0.183 </w:t>
            </w:r>
          </w:p>
        </w:tc>
        <w:tc>
          <w:tcPr>
            <w:tcW w:w="1152" w:type="dxa"/>
            <w:tcBorders>
              <w:top w:val="nil"/>
              <w:left w:val="nil"/>
              <w:bottom w:val="single" w:sz="4" w:space="0" w:color="auto"/>
              <w:right w:val="single" w:sz="4" w:space="0" w:color="auto"/>
            </w:tcBorders>
            <w:shd w:val="clear" w:color="auto" w:fill="auto"/>
            <w:hideMark/>
          </w:tcPr>
          <w:p w14:paraId="75D931C0"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-0.078 </w:t>
            </w:r>
          </w:p>
        </w:tc>
        <w:tc>
          <w:tcPr>
            <w:tcW w:w="1154" w:type="dxa"/>
            <w:tcBorders>
              <w:top w:val="nil"/>
              <w:left w:val="nil"/>
              <w:bottom w:val="single" w:sz="4" w:space="0" w:color="auto"/>
              <w:right w:val="single" w:sz="4" w:space="0" w:color="auto"/>
            </w:tcBorders>
            <w:shd w:val="clear" w:color="auto" w:fill="auto"/>
            <w:hideMark/>
          </w:tcPr>
          <w:p w14:paraId="28567D3A"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-0.078 </w:t>
            </w:r>
          </w:p>
        </w:tc>
        <w:tc>
          <w:tcPr>
            <w:tcW w:w="1152" w:type="dxa"/>
            <w:tcBorders>
              <w:top w:val="nil"/>
              <w:left w:val="nil"/>
              <w:bottom w:val="single" w:sz="4" w:space="0" w:color="auto"/>
              <w:right w:val="single" w:sz="4" w:space="0" w:color="auto"/>
            </w:tcBorders>
            <w:shd w:val="clear" w:color="auto" w:fill="auto"/>
            <w:hideMark/>
          </w:tcPr>
          <w:p w14:paraId="190ED1E5"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-29.89%</w:t>
            </w:r>
          </w:p>
        </w:tc>
      </w:tr>
      <w:tr w:rsidR="00510203" w:rsidRPr="001C1000" w14:paraId="7E34259B" w14:textId="77777777" w:rsidTr="00E118FC">
        <w:trPr>
          <w:trHeight w:val="559"/>
        </w:trPr>
        <w:tc>
          <w:tcPr>
            <w:tcW w:w="851" w:type="dxa"/>
            <w:tcBorders>
              <w:top w:val="nil"/>
              <w:left w:val="single" w:sz="4" w:space="0" w:color="auto"/>
              <w:bottom w:val="single" w:sz="4" w:space="0" w:color="auto"/>
              <w:right w:val="single" w:sz="4" w:space="0" w:color="auto"/>
            </w:tcBorders>
            <w:shd w:val="clear" w:color="000000" w:fill="FFFFFF"/>
            <w:noWrap/>
            <w:hideMark/>
          </w:tcPr>
          <w:p w14:paraId="039C4975"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3.6.9</w:t>
            </w:r>
          </w:p>
        </w:tc>
        <w:tc>
          <w:tcPr>
            <w:tcW w:w="2839" w:type="dxa"/>
            <w:tcBorders>
              <w:top w:val="nil"/>
              <w:left w:val="nil"/>
              <w:bottom w:val="single" w:sz="4" w:space="0" w:color="auto"/>
              <w:right w:val="single" w:sz="4" w:space="0" w:color="auto"/>
            </w:tcBorders>
            <w:shd w:val="clear" w:color="000000" w:fill="FFFFFF"/>
            <w:hideMark/>
          </w:tcPr>
          <w:p w14:paraId="1DBACB19"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FINANCIAL MGT (OPERATIONAL)</w:t>
            </w:r>
          </w:p>
        </w:tc>
        <w:tc>
          <w:tcPr>
            <w:tcW w:w="1196" w:type="dxa"/>
            <w:tcBorders>
              <w:top w:val="nil"/>
              <w:left w:val="nil"/>
              <w:bottom w:val="single" w:sz="4" w:space="0" w:color="auto"/>
              <w:right w:val="single" w:sz="4" w:space="0" w:color="auto"/>
            </w:tcBorders>
            <w:shd w:val="clear" w:color="000000" w:fill="FFFFFF"/>
            <w:hideMark/>
          </w:tcPr>
          <w:p w14:paraId="220E3D66"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1.820 </w:t>
            </w:r>
          </w:p>
        </w:tc>
        <w:tc>
          <w:tcPr>
            <w:tcW w:w="1409" w:type="dxa"/>
            <w:tcBorders>
              <w:top w:val="nil"/>
              <w:left w:val="nil"/>
              <w:bottom w:val="single" w:sz="4" w:space="0" w:color="auto"/>
              <w:right w:val="single" w:sz="4" w:space="0" w:color="auto"/>
            </w:tcBorders>
            <w:shd w:val="clear" w:color="000000" w:fill="FFFFFF"/>
            <w:hideMark/>
          </w:tcPr>
          <w:p w14:paraId="17563831"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1.680 </w:t>
            </w:r>
          </w:p>
        </w:tc>
        <w:tc>
          <w:tcPr>
            <w:tcW w:w="1152" w:type="dxa"/>
            <w:tcBorders>
              <w:top w:val="nil"/>
              <w:left w:val="nil"/>
              <w:bottom w:val="single" w:sz="4" w:space="0" w:color="auto"/>
              <w:right w:val="single" w:sz="4" w:space="0" w:color="auto"/>
            </w:tcBorders>
            <w:shd w:val="clear" w:color="auto" w:fill="auto"/>
            <w:hideMark/>
          </w:tcPr>
          <w:p w14:paraId="61B663E0"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-0.140 </w:t>
            </w:r>
          </w:p>
        </w:tc>
        <w:tc>
          <w:tcPr>
            <w:tcW w:w="1154" w:type="dxa"/>
            <w:tcBorders>
              <w:top w:val="nil"/>
              <w:left w:val="nil"/>
              <w:bottom w:val="single" w:sz="4" w:space="0" w:color="auto"/>
              <w:right w:val="single" w:sz="4" w:space="0" w:color="auto"/>
            </w:tcBorders>
            <w:shd w:val="clear" w:color="auto" w:fill="auto"/>
            <w:hideMark/>
          </w:tcPr>
          <w:p w14:paraId="2D226B6F"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-0.140 </w:t>
            </w:r>
          </w:p>
        </w:tc>
        <w:tc>
          <w:tcPr>
            <w:tcW w:w="1152" w:type="dxa"/>
            <w:tcBorders>
              <w:top w:val="nil"/>
              <w:left w:val="nil"/>
              <w:bottom w:val="single" w:sz="4" w:space="0" w:color="auto"/>
              <w:right w:val="single" w:sz="4" w:space="0" w:color="auto"/>
            </w:tcBorders>
            <w:shd w:val="clear" w:color="auto" w:fill="auto"/>
            <w:hideMark/>
          </w:tcPr>
          <w:p w14:paraId="1C8039BF"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-7.69%</w:t>
            </w:r>
          </w:p>
        </w:tc>
      </w:tr>
      <w:tr w:rsidR="00510203" w:rsidRPr="001C1000" w14:paraId="75604C4D" w14:textId="77777777" w:rsidTr="00E118FC">
        <w:trPr>
          <w:trHeight w:val="559"/>
        </w:trPr>
        <w:tc>
          <w:tcPr>
            <w:tcW w:w="851" w:type="dxa"/>
            <w:tcBorders>
              <w:top w:val="nil"/>
              <w:left w:val="single" w:sz="4" w:space="0" w:color="auto"/>
              <w:bottom w:val="single" w:sz="4" w:space="0" w:color="auto"/>
              <w:right w:val="single" w:sz="4" w:space="0" w:color="auto"/>
            </w:tcBorders>
            <w:shd w:val="clear" w:color="000000" w:fill="FFFFFF"/>
            <w:noWrap/>
            <w:hideMark/>
          </w:tcPr>
          <w:p w14:paraId="3193A79E"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3.6.10</w:t>
            </w:r>
          </w:p>
        </w:tc>
        <w:tc>
          <w:tcPr>
            <w:tcW w:w="2839" w:type="dxa"/>
            <w:tcBorders>
              <w:top w:val="nil"/>
              <w:left w:val="nil"/>
              <w:bottom w:val="single" w:sz="4" w:space="0" w:color="auto"/>
              <w:right w:val="single" w:sz="4" w:space="0" w:color="auto"/>
            </w:tcBorders>
            <w:shd w:val="clear" w:color="000000" w:fill="FFFFFF"/>
            <w:hideMark/>
          </w:tcPr>
          <w:p w14:paraId="08921911"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OFFICE OF THE POLICE AND CRIME COMMISSIONER TRES</w:t>
            </w:r>
          </w:p>
        </w:tc>
        <w:tc>
          <w:tcPr>
            <w:tcW w:w="1196" w:type="dxa"/>
            <w:tcBorders>
              <w:top w:val="nil"/>
              <w:left w:val="nil"/>
              <w:bottom w:val="single" w:sz="4" w:space="0" w:color="auto"/>
              <w:right w:val="single" w:sz="4" w:space="0" w:color="auto"/>
            </w:tcBorders>
            <w:shd w:val="clear" w:color="000000" w:fill="FFFFFF"/>
            <w:hideMark/>
          </w:tcPr>
          <w:p w14:paraId="67D84B49"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-0.010 </w:t>
            </w:r>
          </w:p>
        </w:tc>
        <w:tc>
          <w:tcPr>
            <w:tcW w:w="1409" w:type="dxa"/>
            <w:tcBorders>
              <w:top w:val="nil"/>
              <w:left w:val="nil"/>
              <w:bottom w:val="single" w:sz="4" w:space="0" w:color="auto"/>
              <w:right w:val="single" w:sz="4" w:space="0" w:color="auto"/>
            </w:tcBorders>
            <w:shd w:val="clear" w:color="000000" w:fill="FFFFFF"/>
            <w:hideMark/>
          </w:tcPr>
          <w:p w14:paraId="6FCD0C81"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-0.010 </w:t>
            </w:r>
          </w:p>
        </w:tc>
        <w:tc>
          <w:tcPr>
            <w:tcW w:w="1152" w:type="dxa"/>
            <w:tcBorders>
              <w:top w:val="nil"/>
              <w:left w:val="nil"/>
              <w:bottom w:val="single" w:sz="4" w:space="0" w:color="auto"/>
              <w:right w:val="single" w:sz="4" w:space="0" w:color="auto"/>
            </w:tcBorders>
            <w:shd w:val="clear" w:color="auto" w:fill="auto"/>
            <w:hideMark/>
          </w:tcPr>
          <w:p w14:paraId="28659AAA"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0.000 </w:t>
            </w:r>
          </w:p>
        </w:tc>
        <w:tc>
          <w:tcPr>
            <w:tcW w:w="1154" w:type="dxa"/>
            <w:tcBorders>
              <w:top w:val="nil"/>
              <w:left w:val="nil"/>
              <w:bottom w:val="single" w:sz="4" w:space="0" w:color="auto"/>
              <w:right w:val="single" w:sz="4" w:space="0" w:color="auto"/>
            </w:tcBorders>
            <w:shd w:val="clear" w:color="auto" w:fill="auto"/>
            <w:hideMark/>
          </w:tcPr>
          <w:p w14:paraId="5CEB3184"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0.000 </w:t>
            </w:r>
          </w:p>
        </w:tc>
        <w:tc>
          <w:tcPr>
            <w:tcW w:w="1152" w:type="dxa"/>
            <w:tcBorders>
              <w:top w:val="nil"/>
              <w:left w:val="nil"/>
              <w:bottom w:val="single" w:sz="4" w:space="0" w:color="auto"/>
              <w:right w:val="single" w:sz="4" w:space="0" w:color="auto"/>
            </w:tcBorders>
            <w:shd w:val="clear" w:color="auto" w:fill="auto"/>
            <w:hideMark/>
          </w:tcPr>
          <w:p w14:paraId="45D772EA"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0.00%</w:t>
            </w:r>
          </w:p>
        </w:tc>
      </w:tr>
      <w:tr w:rsidR="00510203" w:rsidRPr="001C1000" w14:paraId="7449E3F1" w14:textId="77777777" w:rsidTr="00E118FC">
        <w:trPr>
          <w:trHeight w:val="559"/>
        </w:trPr>
        <w:tc>
          <w:tcPr>
            <w:tcW w:w="851" w:type="dxa"/>
            <w:tcBorders>
              <w:top w:val="nil"/>
              <w:left w:val="single" w:sz="4" w:space="0" w:color="auto"/>
              <w:bottom w:val="single" w:sz="4" w:space="0" w:color="auto"/>
              <w:right w:val="single" w:sz="4" w:space="0" w:color="auto"/>
            </w:tcBorders>
            <w:shd w:val="clear" w:color="000000" w:fill="FFFFFF"/>
            <w:noWrap/>
            <w:hideMark/>
          </w:tcPr>
          <w:p w14:paraId="0A5C2940"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3.6.11</w:t>
            </w:r>
          </w:p>
        </w:tc>
        <w:tc>
          <w:tcPr>
            <w:tcW w:w="2839" w:type="dxa"/>
            <w:tcBorders>
              <w:top w:val="nil"/>
              <w:left w:val="nil"/>
              <w:bottom w:val="single" w:sz="4" w:space="0" w:color="auto"/>
              <w:right w:val="single" w:sz="4" w:space="0" w:color="auto"/>
            </w:tcBorders>
            <w:shd w:val="clear" w:color="000000" w:fill="FFFFFF"/>
            <w:hideMark/>
          </w:tcPr>
          <w:p w14:paraId="0CA738B8"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CORPORATE FINANCE</w:t>
            </w:r>
          </w:p>
        </w:tc>
        <w:tc>
          <w:tcPr>
            <w:tcW w:w="1196" w:type="dxa"/>
            <w:tcBorders>
              <w:top w:val="nil"/>
              <w:left w:val="nil"/>
              <w:bottom w:val="single" w:sz="4" w:space="0" w:color="auto"/>
              <w:right w:val="single" w:sz="4" w:space="0" w:color="auto"/>
            </w:tcBorders>
            <w:shd w:val="clear" w:color="000000" w:fill="FFFFFF"/>
            <w:hideMark/>
          </w:tcPr>
          <w:p w14:paraId="0637B4BA"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4.933 </w:t>
            </w:r>
          </w:p>
        </w:tc>
        <w:tc>
          <w:tcPr>
            <w:tcW w:w="1409" w:type="dxa"/>
            <w:tcBorders>
              <w:top w:val="nil"/>
              <w:left w:val="nil"/>
              <w:bottom w:val="single" w:sz="4" w:space="0" w:color="auto"/>
              <w:right w:val="single" w:sz="4" w:space="0" w:color="auto"/>
            </w:tcBorders>
            <w:shd w:val="clear" w:color="000000" w:fill="FFFFFF"/>
            <w:hideMark/>
          </w:tcPr>
          <w:p w14:paraId="221CFACB"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4.886 </w:t>
            </w:r>
          </w:p>
        </w:tc>
        <w:tc>
          <w:tcPr>
            <w:tcW w:w="1152" w:type="dxa"/>
            <w:tcBorders>
              <w:top w:val="nil"/>
              <w:left w:val="nil"/>
              <w:bottom w:val="single" w:sz="4" w:space="0" w:color="auto"/>
              <w:right w:val="single" w:sz="4" w:space="0" w:color="auto"/>
            </w:tcBorders>
            <w:shd w:val="clear" w:color="auto" w:fill="auto"/>
            <w:hideMark/>
          </w:tcPr>
          <w:p w14:paraId="4CCE1291"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-0.047 </w:t>
            </w:r>
          </w:p>
        </w:tc>
        <w:tc>
          <w:tcPr>
            <w:tcW w:w="1154" w:type="dxa"/>
            <w:tcBorders>
              <w:top w:val="nil"/>
              <w:left w:val="nil"/>
              <w:bottom w:val="single" w:sz="4" w:space="0" w:color="auto"/>
              <w:right w:val="single" w:sz="4" w:space="0" w:color="auto"/>
            </w:tcBorders>
            <w:shd w:val="clear" w:color="auto" w:fill="auto"/>
            <w:hideMark/>
          </w:tcPr>
          <w:p w14:paraId="18AB0FD5"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-0.047 </w:t>
            </w:r>
          </w:p>
        </w:tc>
        <w:tc>
          <w:tcPr>
            <w:tcW w:w="1152" w:type="dxa"/>
            <w:tcBorders>
              <w:top w:val="nil"/>
              <w:left w:val="nil"/>
              <w:bottom w:val="single" w:sz="4" w:space="0" w:color="auto"/>
              <w:right w:val="single" w:sz="4" w:space="0" w:color="auto"/>
            </w:tcBorders>
            <w:shd w:val="clear" w:color="auto" w:fill="auto"/>
            <w:hideMark/>
          </w:tcPr>
          <w:p w14:paraId="758B18F8"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-0.95%</w:t>
            </w:r>
          </w:p>
        </w:tc>
      </w:tr>
      <w:tr w:rsidR="00510203" w:rsidRPr="001C1000" w14:paraId="25FE62DA" w14:textId="77777777" w:rsidTr="00E118FC">
        <w:trPr>
          <w:trHeight w:val="559"/>
        </w:trPr>
        <w:tc>
          <w:tcPr>
            <w:tcW w:w="851" w:type="dxa"/>
            <w:tcBorders>
              <w:top w:val="nil"/>
              <w:left w:val="single" w:sz="4" w:space="0" w:color="auto"/>
              <w:bottom w:val="single" w:sz="4" w:space="0" w:color="auto"/>
              <w:right w:val="single" w:sz="4" w:space="0" w:color="auto"/>
            </w:tcBorders>
            <w:shd w:val="clear" w:color="000000" w:fill="FFFFFF"/>
            <w:noWrap/>
            <w:hideMark/>
          </w:tcPr>
          <w:p w14:paraId="51BA8C83"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3.6.12</w:t>
            </w:r>
          </w:p>
        </w:tc>
        <w:tc>
          <w:tcPr>
            <w:tcW w:w="2839" w:type="dxa"/>
            <w:tcBorders>
              <w:top w:val="nil"/>
              <w:left w:val="nil"/>
              <w:bottom w:val="single" w:sz="4" w:space="0" w:color="auto"/>
              <w:right w:val="single" w:sz="4" w:space="0" w:color="auto"/>
            </w:tcBorders>
            <w:shd w:val="clear" w:color="000000" w:fill="FFFFFF"/>
            <w:hideMark/>
          </w:tcPr>
          <w:p w14:paraId="7CAD5015"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CORONER'S SERVICE</w:t>
            </w:r>
          </w:p>
        </w:tc>
        <w:tc>
          <w:tcPr>
            <w:tcW w:w="1196" w:type="dxa"/>
            <w:tcBorders>
              <w:top w:val="nil"/>
              <w:left w:val="nil"/>
              <w:bottom w:val="single" w:sz="4" w:space="0" w:color="auto"/>
              <w:right w:val="single" w:sz="4" w:space="0" w:color="auto"/>
            </w:tcBorders>
            <w:shd w:val="clear" w:color="000000" w:fill="FFFFFF"/>
            <w:hideMark/>
          </w:tcPr>
          <w:p w14:paraId="1FE6354F"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2.878 </w:t>
            </w:r>
          </w:p>
        </w:tc>
        <w:tc>
          <w:tcPr>
            <w:tcW w:w="1409" w:type="dxa"/>
            <w:tcBorders>
              <w:top w:val="nil"/>
              <w:left w:val="nil"/>
              <w:bottom w:val="single" w:sz="4" w:space="0" w:color="auto"/>
              <w:right w:val="single" w:sz="4" w:space="0" w:color="auto"/>
            </w:tcBorders>
            <w:shd w:val="clear" w:color="000000" w:fill="FFFFFF"/>
            <w:hideMark/>
          </w:tcPr>
          <w:p w14:paraId="5D97DEF4"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2.762 </w:t>
            </w:r>
          </w:p>
        </w:tc>
        <w:tc>
          <w:tcPr>
            <w:tcW w:w="1152" w:type="dxa"/>
            <w:tcBorders>
              <w:top w:val="nil"/>
              <w:left w:val="nil"/>
              <w:bottom w:val="single" w:sz="4" w:space="0" w:color="auto"/>
              <w:right w:val="single" w:sz="4" w:space="0" w:color="auto"/>
            </w:tcBorders>
            <w:shd w:val="clear" w:color="auto" w:fill="auto"/>
            <w:hideMark/>
          </w:tcPr>
          <w:p w14:paraId="26512CE1"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-0.116 </w:t>
            </w:r>
          </w:p>
        </w:tc>
        <w:tc>
          <w:tcPr>
            <w:tcW w:w="1154" w:type="dxa"/>
            <w:tcBorders>
              <w:top w:val="nil"/>
              <w:left w:val="nil"/>
              <w:bottom w:val="single" w:sz="4" w:space="0" w:color="auto"/>
              <w:right w:val="single" w:sz="4" w:space="0" w:color="auto"/>
            </w:tcBorders>
            <w:shd w:val="clear" w:color="auto" w:fill="auto"/>
            <w:hideMark/>
          </w:tcPr>
          <w:p w14:paraId="13337F58"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-0.110 </w:t>
            </w:r>
          </w:p>
        </w:tc>
        <w:tc>
          <w:tcPr>
            <w:tcW w:w="1152" w:type="dxa"/>
            <w:tcBorders>
              <w:top w:val="nil"/>
              <w:left w:val="nil"/>
              <w:bottom w:val="single" w:sz="4" w:space="0" w:color="auto"/>
              <w:right w:val="single" w:sz="4" w:space="0" w:color="auto"/>
            </w:tcBorders>
            <w:shd w:val="clear" w:color="auto" w:fill="auto"/>
            <w:hideMark/>
          </w:tcPr>
          <w:p w14:paraId="39A91103"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-4.03%</w:t>
            </w:r>
          </w:p>
        </w:tc>
      </w:tr>
      <w:tr w:rsidR="00510203" w:rsidRPr="001C1000" w14:paraId="6FEFC95F" w14:textId="77777777" w:rsidTr="00E118FC">
        <w:trPr>
          <w:trHeight w:val="559"/>
        </w:trPr>
        <w:tc>
          <w:tcPr>
            <w:tcW w:w="851" w:type="dxa"/>
            <w:tcBorders>
              <w:top w:val="nil"/>
              <w:left w:val="single" w:sz="4" w:space="0" w:color="auto"/>
              <w:bottom w:val="single" w:sz="4" w:space="0" w:color="auto"/>
              <w:right w:val="single" w:sz="4" w:space="0" w:color="auto"/>
            </w:tcBorders>
            <w:shd w:val="clear" w:color="000000" w:fill="FFFFFF"/>
            <w:noWrap/>
            <w:hideMark/>
          </w:tcPr>
          <w:p w14:paraId="2B2318F7"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3.6.13</w:t>
            </w:r>
          </w:p>
        </w:tc>
        <w:tc>
          <w:tcPr>
            <w:tcW w:w="2839" w:type="dxa"/>
            <w:tcBorders>
              <w:top w:val="nil"/>
              <w:left w:val="nil"/>
              <w:bottom w:val="single" w:sz="4" w:space="0" w:color="auto"/>
              <w:right w:val="single" w:sz="4" w:space="0" w:color="auto"/>
            </w:tcBorders>
            <w:shd w:val="clear" w:color="000000" w:fill="FFFFFF"/>
            <w:hideMark/>
          </w:tcPr>
          <w:p w14:paraId="7C81986A"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INTERNAL AUDIT</w:t>
            </w:r>
          </w:p>
        </w:tc>
        <w:tc>
          <w:tcPr>
            <w:tcW w:w="1196" w:type="dxa"/>
            <w:tcBorders>
              <w:top w:val="nil"/>
              <w:left w:val="nil"/>
              <w:bottom w:val="single" w:sz="4" w:space="0" w:color="auto"/>
              <w:right w:val="single" w:sz="4" w:space="0" w:color="auto"/>
            </w:tcBorders>
            <w:shd w:val="clear" w:color="000000" w:fill="FFFFFF"/>
            <w:hideMark/>
          </w:tcPr>
          <w:p w14:paraId="12C10ECD"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0.694 </w:t>
            </w:r>
          </w:p>
        </w:tc>
        <w:tc>
          <w:tcPr>
            <w:tcW w:w="1409" w:type="dxa"/>
            <w:tcBorders>
              <w:top w:val="nil"/>
              <w:left w:val="nil"/>
              <w:bottom w:val="single" w:sz="4" w:space="0" w:color="auto"/>
              <w:right w:val="single" w:sz="4" w:space="0" w:color="auto"/>
            </w:tcBorders>
            <w:shd w:val="clear" w:color="000000" w:fill="FFFFFF"/>
            <w:hideMark/>
          </w:tcPr>
          <w:p w14:paraId="13617E5B"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0.630 </w:t>
            </w:r>
          </w:p>
        </w:tc>
        <w:tc>
          <w:tcPr>
            <w:tcW w:w="1152" w:type="dxa"/>
            <w:tcBorders>
              <w:top w:val="nil"/>
              <w:left w:val="nil"/>
              <w:bottom w:val="single" w:sz="4" w:space="0" w:color="auto"/>
              <w:right w:val="single" w:sz="4" w:space="0" w:color="auto"/>
            </w:tcBorders>
            <w:shd w:val="clear" w:color="auto" w:fill="auto"/>
            <w:hideMark/>
          </w:tcPr>
          <w:p w14:paraId="1E391F29"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-0.064 </w:t>
            </w:r>
          </w:p>
        </w:tc>
        <w:tc>
          <w:tcPr>
            <w:tcW w:w="1154" w:type="dxa"/>
            <w:tcBorders>
              <w:top w:val="nil"/>
              <w:left w:val="nil"/>
              <w:bottom w:val="single" w:sz="4" w:space="0" w:color="auto"/>
              <w:right w:val="single" w:sz="4" w:space="0" w:color="auto"/>
            </w:tcBorders>
            <w:shd w:val="clear" w:color="auto" w:fill="auto"/>
            <w:hideMark/>
          </w:tcPr>
          <w:p w14:paraId="106D20EB"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-0.029 </w:t>
            </w:r>
          </w:p>
        </w:tc>
        <w:tc>
          <w:tcPr>
            <w:tcW w:w="1152" w:type="dxa"/>
            <w:tcBorders>
              <w:top w:val="nil"/>
              <w:left w:val="nil"/>
              <w:bottom w:val="single" w:sz="4" w:space="0" w:color="auto"/>
              <w:right w:val="single" w:sz="4" w:space="0" w:color="auto"/>
            </w:tcBorders>
            <w:shd w:val="clear" w:color="auto" w:fill="auto"/>
            <w:hideMark/>
          </w:tcPr>
          <w:p w14:paraId="4594939D"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-9.22%</w:t>
            </w:r>
          </w:p>
        </w:tc>
      </w:tr>
      <w:tr w:rsidR="00510203" w:rsidRPr="001C1000" w14:paraId="1ECACC83" w14:textId="77777777" w:rsidTr="00E118FC">
        <w:trPr>
          <w:trHeight w:val="559"/>
        </w:trPr>
        <w:tc>
          <w:tcPr>
            <w:tcW w:w="851" w:type="dxa"/>
            <w:tcBorders>
              <w:top w:val="nil"/>
              <w:left w:val="single" w:sz="4" w:space="0" w:color="auto"/>
              <w:bottom w:val="single" w:sz="4" w:space="0" w:color="auto"/>
              <w:right w:val="single" w:sz="4" w:space="0" w:color="auto"/>
            </w:tcBorders>
            <w:shd w:val="clear" w:color="auto" w:fill="auto"/>
            <w:noWrap/>
            <w:hideMark/>
          </w:tcPr>
          <w:p w14:paraId="5D0D2B75"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3.6.14</w:t>
            </w:r>
          </w:p>
        </w:tc>
        <w:tc>
          <w:tcPr>
            <w:tcW w:w="2839" w:type="dxa"/>
            <w:tcBorders>
              <w:top w:val="nil"/>
              <w:left w:val="nil"/>
              <w:bottom w:val="single" w:sz="4" w:space="0" w:color="auto"/>
              <w:right w:val="single" w:sz="4" w:space="0" w:color="auto"/>
            </w:tcBorders>
            <w:shd w:val="clear" w:color="auto" w:fill="auto"/>
            <w:hideMark/>
          </w:tcPr>
          <w:p w14:paraId="5D4921B6"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LEGAL AND DEMOCRATIC SERVICES</w:t>
            </w:r>
          </w:p>
        </w:tc>
        <w:tc>
          <w:tcPr>
            <w:tcW w:w="1196" w:type="dxa"/>
            <w:tcBorders>
              <w:top w:val="nil"/>
              <w:left w:val="nil"/>
              <w:bottom w:val="single" w:sz="4" w:space="0" w:color="auto"/>
              <w:right w:val="single" w:sz="4" w:space="0" w:color="auto"/>
            </w:tcBorders>
            <w:shd w:val="clear" w:color="auto" w:fill="auto"/>
            <w:hideMark/>
          </w:tcPr>
          <w:p w14:paraId="599F26C5"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13.177 </w:t>
            </w:r>
          </w:p>
        </w:tc>
        <w:tc>
          <w:tcPr>
            <w:tcW w:w="1409" w:type="dxa"/>
            <w:tcBorders>
              <w:top w:val="nil"/>
              <w:left w:val="nil"/>
              <w:bottom w:val="single" w:sz="4" w:space="0" w:color="auto"/>
              <w:right w:val="single" w:sz="4" w:space="0" w:color="auto"/>
            </w:tcBorders>
            <w:shd w:val="clear" w:color="auto" w:fill="auto"/>
            <w:hideMark/>
          </w:tcPr>
          <w:p w14:paraId="499F43BC"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13.413 </w:t>
            </w:r>
          </w:p>
        </w:tc>
        <w:tc>
          <w:tcPr>
            <w:tcW w:w="1152" w:type="dxa"/>
            <w:tcBorders>
              <w:top w:val="nil"/>
              <w:left w:val="nil"/>
              <w:bottom w:val="single" w:sz="4" w:space="0" w:color="auto"/>
              <w:right w:val="single" w:sz="4" w:space="0" w:color="auto"/>
            </w:tcBorders>
            <w:shd w:val="clear" w:color="auto" w:fill="auto"/>
            <w:hideMark/>
          </w:tcPr>
          <w:p w14:paraId="7DF659E9"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0.236 </w:t>
            </w:r>
          </w:p>
        </w:tc>
        <w:tc>
          <w:tcPr>
            <w:tcW w:w="1154" w:type="dxa"/>
            <w:tcBorders>
              <w:top w:val="nil"/>
              <w:left w:val="nil"/>
              <w:bottom w:val="single" w:sz="4" w:space="0" w:color="auto"/>
              <w:right w:val="single" w:sz="4" w:space="0" w:color="auto"/>
            </w:tcBorders>
            <w:shd w:val="clear" w:color="auto" w:fill="auto"/>
            <w:hideMark/>
          </w:tcPr>
          <w:p w14:paraId="6EE43EF2"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0.255 </w:t>
            </w:r>
          </w:p>
        </w:tc>
        <w:tc>
          <w:tcPr>
            <w:tcW w:w="1152" w:type="dxa"/>
            <w:tcBorders>
              <w:top w:val="nil"/>
              <w:left w:val="nil"/>
              <w:bottom w:val="single" w:sz="4" w:space="0" w:color="auto"/>
              <w:right w:val="single" w:sz="4" w:space="0" w:color="auto"/>
            </w:tcBorders>
            <w:shd w:val="clear" w:color="auto" w:fill="auto"/>
            <w:hideMark/>
          </w:tcPr>
          <w:p w14:paraId="454FBB21"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1.79%</w:t>
            </w:r>
          </w:p>
        </w:tc>
      </w:tr>
      <w:tr w:rsidR="00510203" w:rsidRPr="001C1000" w14:paraId="6E84FC0A" w14:textId="77777777" w:rsidTr="00E118FC">
        <w:trPr>
          <w:trHeight w:val="559"/>
        </w:trPr>
        <w:tc>
          <w:tcPr>
            <w:tcW w:w="851" w:type="dxa"/>
            <w:tcBorders>
              <w:top w:val="nil"/>
              <w:left w:val="single" w:sz="4" w:space="0" w:color="auto"/>
              <w:bottom w:val="single" w:sz="4" w:space="0" w:color="auto"/>
              <w:right w:val="single" w:sz="4" w:space="0" w:color="auto"/>
            </w:tcBorders>
            <w:shd w:val="clear" w:color="000000" w:fill="D9D9D9"/>
            <w:vAlign w:val="center"/>
            <w:hideMark/>
          </w:tcPr>
          <w:p w14:paraId="65148A2A" w14:textId="77777777" w:rsidR="00510203" w:rsidRPr="001C1000" w:rsidRDefault="00510203" w:rsidP="00E118FC">
            <w:pPr>
              <w:spacing w:after="0"/>
              <w:jc w:val="center"/>
              <w:rPr>
                <w:rFonts w:eastAsia="Times New Roman" w:cs="Arial"/>
                <w:b/>
                <w:bCs/>
                <w:sz w:val="20"/>
                <w:szCs w:val="20"/>
                <w:lang w:eastAsia="en-GB"/>
              </w:rPr>
            </w:pPr>
          </w:p>
        </w:tc>
        <w:tc>
          <w:tcPr>
            <w:tcW w:w="2839" w:type="dxa"/>
            <w:tcBorders>
              <w:top w:val="nil"/>
              <w:left w:val="nil"/>
              <w:bottom w:val="single" w:sz="4" w:space="0" w:color="auto"/>
              <w:right w:val="single" w:sz="4" w:space="0" w:color="auto"/>
            </w:tcBorders>
            <w:shd w:val="clear" w:color="000000" w:fill="D9D9D9"/>
            <w:vAlign w:val="center"/>
            <w:hideMark/>
          </w:tcPr>
          <w:p w14:paraId="60055F86" w14:textId="77777777" w:rsidR="00510203" w:rsidRPr="001C1000" w:rsidRDefault="00510203" w:rsidP="00D40856">
            <w:pPr>
              <w:spacing w:after="0"/>
              <w:jc w:val="left"/>
              <w:rPr>
                <w:rFonts w:eastAsia="Times New Roman" w:cs="Arial"/>
                <w:b/>
                <w:bCs/>
                <w:sz w:val="20"/>
                <w:szCs w:val="20"/>
                <w:lang w:eastAsia="en-GB"/>
              </w:rPr>
            </w:pPr>
            <w:r w:rsidRPr="001C1000">
              <w:rPr>
                <w:rFonts w:eastAsia="Times New Roman" w:cs="Arial"/>
                <w:b/>
                <w:bCs/>
                <w:sz w:val="20"/>
                <w:szCs w:val="20"/>
                <w:lang w:eastAsia="en-GB"/>
              </w:rPr>
              <w:t>TOTAL - COMMISSIONING</w:t>
            </w:r>
          </w:p>
        </w:tc>
        <w:tc>
          <w:tcPr>
            <w:tcW w:w="1196" w:type="dxa"/>
            <w:tcBorders>
              <w:top w:val="nil"/>
              <w:left w:val="nil"/>
              <w:bottom w:val="single" w:sz="4" w:space="0" w:color="auto"/>
              <w:right w:val="single" w:sz="4" w:space="0" w:color="auto"/>
            </w:tcBorders>
            <w:shd w:val="clear" w:color="000000" w:fill="D9D9D9"/>
            <w:vAlign w:val="center"/>
            <w:hideMark/>
          </w:tcPr>
          <w:p w14:paraId="492E7198" w14:textId="77777777" w:rsidR="00510203" w:rsidRPr="001C1000" w:rsidRDefault="00510203" w:rsidP="00E118FC">
            <w:pPr>
              <w:spacing w:after="0"/>
              <w:jc w:val="right"/>
              <w:rPr>
                <w:rFonts w:eastAsia="Times New Roman" w:cs="Arial"/>
                <w:b/>
                <w:bCs/>
                <w:sz w:val="20"/>
                <w:szCs w:val="20"/>
                <w:lang w:eastAsia="en-GB"/>
              </w:rPr>
            </w:pPr>
            <w:r w:rsidRPr="001C1000">
              <w:rPr>
                <w:rFonts w:eastAsia="Times New Roman" w:cs="Arial"/>
                <w:b/>
                <w:bCs/>
                <w:sz w:val="20"/>
                <w:szCs w:val="20"/>
                <w:lang w:eastAsia="en-GB"/>
              </w:rPr>
              <w:t xml:space="preserve">40.822 </w:t>
            </w:r>
          </w:p>
        </w:tc>
        <w:tc>
          <w:tcPr>
            <w:tcW w:w="1409" w:type="dxa"/>
            <w:tcBorders>
              <w:top w:val="nil"/>
              <w:left w:val="nil"/>
              <w:bottom w:val="single" w:sz="4" w:space="0" w:color="auto"/>
              <w:right w:val="single" w:sz="4" w:space="0" w:color="auto"/>
            </w:tcBorders>
            <w:shd w:val="clear" w:color="000000" w:fill="D9D9D9"/>
            <w:vAlign w:val="center"/>
            <w:hideMark/>
          </w:tcPr>
          <w:p w14:paraId="15C8ACDD" w14:textId="1687F086" w:rsidR="00510203" w:rsidRPr="001C1000" w:rsidRDefault="00510203" w:rsidP="007C37A7">
            <w:pPr>
              <w:spacing w:after="0"/>
              <w:jc w:val="right"/>
              <w:rPr>
                <w:rFonts w:eastAsia="Times New Roman" w:cs="Arial"/>
                <w:b/>
                <w:bCs/>
                <w:sz w:val="20"/>
                <w:szCs w:val="20"/>
                <w:lang w:eastAsia="en-GB"/>
              </w:rPr>
            </w:pPr>
            <w:r w:rsidRPr="001C1000">
              <w:rPr>
                <w:rFonts w:eastAsia="Times New Roman" w:cs="Arial"/>
                <w:b/>
                <w:bCs/>
                <w:sz w:val="20"/>
                <w:szCs w:val="20"/>
                <w:lang w:eastAsia="en-GB"/>
              </w:rPr>
              <w:t>38.</w:t>
            </w:r>
            <w:r w:rsidR="007C37A7">
              <w:rPr>
                <w:rFonts w:eastAsia="Times New Roman" w:cs="Arial"/>
                <w:b/>
                <w:bCs/>
                <w:sz w:val="20"/>
                <w:szCs w:val="20"/>
                <w:lang w:eastAsia="en-GB"/>
              </w:rPr>
              <w:t>365</w:t>
            </w:r>
            <w:r w:rsidRPr="001C1000">
              <w:rPr>
                <w:rFonts w:eastAsia="Times New Roman" w:cs="Arial"/>
                <w:b/>
                <w:bCs/>
                <w:sz w:val="20"/>
                <w:szCs w:val="20"/>
                <w:lang w:eastAsia="en-GB"/>
              </w:rPr>
              <w:t xml:space="preserve"> </w:t>
            </w:r>
          </w:p>
        </w:tc>
        <w:tc>
          <w:tcPr>
            <w:tcW w:w="1152" w:type="dxa"/>
            <w:tcBorders>
              <w:top w:val="nil"/>
              <w:left w:val="nil"/>
              <w:bottom w:val="single" w:sz="4" w:space="0" w:color="auto"/>
              <w:right w:val="single" w:sz="4" w:space="0" w:color="auto"/>
            </w:tcBorders>
            <w:shd w:val="clear" w:color="000000" w:fill="D9D9D9"/>
            <w:vAlign w:val="center"/>
            <w:hideMark/>
          </w:tcPr>
          <w:p w14:paraId="4E9C4931" w14:textId="7BEC1445" w:rsidR="00510203" w:rsidRPr="001C1000" w:rsidRDefault="00510203" w:rsidP="007C37A7">
            <w:pPr>
              <w:spacing w:after="0"/>
              <w:jc w:val="right"/>
              <w:rPr>
                <w:rFonts w:eastAsia="Times New Roman" w:cs="Arial"/>
                <w:b/>
                <w:bCs/>
                <w:sz w:val="20"/>
                <w:szCs w:val="20"/>
                <w:lang w:eastAsia="en-GB"/>
              </w:rPr>
            </w:pPr>
            <w:r w:rsidRPr="001C1000">
              <w:rPr>
                <w:rFonts w:eastAsia="Times New Roman" w:cs="Arial"/>
                <w:b/>
                <w:bCs/>
                <w:sz w:val="20"/>
                <w:szCs w:val="20"/>
                <w:lang w:eastAsia="en-GB"/>
              </w:rPr>
              <w:t>-2.</w:t>
            </w:r>
            <w:r w:rsidR="007C37A7">
              <w:rPr>
                <w:rFonts w:eastAsia="Times New Roman" w:cs="Arial"/>
                <w:b/>
                <w:bCs/>
                <w:sz w:val="20"/>
                <w:szCs w:val="20"/>
                <w:lang w:eastAsia="en-GB"/>
              </w:rPr>
              <w:t>457</w:t>
            </w:r>
            <w:r w:rsidRPr="001C1000">
              <w:rPr>
                <w:rFonts w:eastAsia="Times New Roman" w:cs="Arial"/>
                <w:b/>
                <w:bCs/>
                <w:sz w:val="20"/>
                <w:szCs w:val="20"/>
                <w:lang w:eastAsia="en-GB"/>
              </w:rPr>
              <w:t xml:space="preserve"> </w:t>
            </w:r>
          </w:p>
        </w:tc>
        <w:tc>
          <w:tcPr>
            <w:tcW w:w="1154" w:type="dxa"/>
            <w:tcBorders>
              <w:top w:val="nil"/>
              <w:left w:val="nil"/>
              <w:bottom w:val="single" w:sz="4" w:space="0" w:color="auto"/>
              <w:right w:val="single" w:sz="4" w:space="0" w:color="auto"/>
            </w:tcBorders>
            <w:shd w:val="clear" w:color="000000" w:fill="D9D9D9"/>
            <w:vAlign w:val="center"/>
            <w:hideMark/>
          </w:tcPr>
          <w:p w14:paraId="5CB0AB66" w14:textId="77777777" w:rsidR="00510203" w:rsidRPr="001C1000" w:rsidRDefault="00510203" w:rsidP="00E118FC">
            <w:pPr>
              <w:spacing w:after="0"/>
              <w:jc w:val="right"/>
              <w:rPr>
                <w:rFonts w:eastAsia="Times New Roman" w:cs="Arial"/>
                <w:b/>
                <w:bCs/>
                <w:sz w:val="20"/>
                <w:szCs w:val="20"/>
                <w:lang w:eastAsia="en-GB"/>
              </w:rPr>
            </w:pPr>
            <w:r w:rsidRPr="001C1000">
              <w:rPr>
                <w:rFonts w:eastAsia="Times New Roman" w:cs="Arial"/>
                <w:b/>
                <w:bCs/>
                <w:sz w:val="20"/>
                <w:szCs w:val="20"/>
                <w:lang w:eastAsia="en-GB"/>
              </w:rPr>
              <w:t xml:space="preserve">-2.770 </w:t>
            </w:r>
          </w:p>
        </w:tc>
        <w:tc>
          <w:tcPr>
            <w:tcW w:w="1152" w:type="dxa"/>
            <w:tcBorders>
              <w:top w:val="nil"/>
              <w:left w:val="nil"/>
              <w:bottom w:val="single" w:sz="4" w:space="0" w:color="auto"/>
              <w:right w:val="single" w:sz="4" w:space="0" w:color="auto"/>
            </w:tcBorders>
            <w:shd w:val="clear" w:color="000000" w:fill="D9D9D9"/>
            <w:vAlign w:val="center"/>
            <w:hideMark/>
          </w:tcPr>
          <w:p w14:paraId="00AC56A7" w14:textId="16FEF01B" w:rsidR="00510203" w:rsidRPr="001C1000" w:rsidRDefault="001B51AB" w:rsidP="00E118FC">
            <w:pPr>
              <w:spacing w:after="0"/>
              <w:jc w:val="right"/>
              <w:rPr>
                <w:rFonts w:eastAsia="Times New Roman" w:cs="Arial"/>
                <w:b/>
                <w:bCs/>
                <w:sz w:val="20"/>
                <w:szCs w:val="20"/>
                <w:lang w:eastAsia="en-GB"/>
              </w:rPr>
            </w:pPr>
            <w:r>
              <w:rPr>
                <w:rFonts w:eastAsia="Times New Roman" w:cs="Arial"/>
                <w:b/>
                <w:bCs/>
                <w:sz w:val="20"/>
                <w:szCs w:val="20"/>
                <w:lang w:eastAsia="en-GB"/>
              </w:rPr>
              <w:t>-6..02</w:t>
            </w:r>
            <w:r w:rsidR="00510203" w:rsidRPr="001C1000">
              <w:rPr>
                <w:rFonts w:eastAsia="Times New Roman" w:cs="Arial"/>
                <w:b/>
                <w:bCs/>
                <w:sz w:val="20"/>
                <w:szCs w:val="20"/>
                <w:lang w:eastAsia="en-GB"/>
              </w:rPr>
              <w:t>%</w:t>
            </w:r>
          </w:p>
        </w:tc>
      </w:tr>
    </w:tbl>
    <w:p w14:paraId="7EC5EE63" w14:textId="77777777" w:rsidR="00510203" w:rsidRDefault="00510203" w:rsidP="00510203">
      <w:pPr>
        <w:spacing w:after="0"/>
        <w:rPr>
          <w:rFonts w:cs="Arial"/>
          <w:b/>
          <w:u w:val="single"/>
        </w:rPr>
      </w:pPr>
    </w:p>
    <w:p w14:paraId="0A5740C8" w14:textId="39016851" w:rsidR="00510203" w:rsidRDefault="00510203" w:rsidP="00510203">
      <w:pPr>
        <w:spacing w:after="0"/>
        <w:rPr>
          <w:rFonts w:cs="Arial"/>
        </w:rPr>
      </w:pPr>
      <w:r>
        <w:rPr>
          <w:rFonts w:cs="Arial"/>
        </w:rPr>
        <w:t>Commissioning</w:t>
      </w:r>
      <w:r w:rsidRPr="00CD40A7">
        <w:rPr>
          <w:rFonts w:cs="Arial"/>
        </w:rPr>
        <w:t xml:space="preserve"> Services are forecast to </w:t>
      </w:r>
      <w:r>
        <w:rPr>
          <w:rFonts w:cs="Arial"/>
        </w:rPr>
        <w:t>under</w:t>
      </w:r>
      <w:r w:rsidRPr="00CD40A7">
        <w:rPr>
          <w:rFonts w:cs="Arial"/>
        </w:rPr>
        <w:t>spend by £</w:t>
      </w:r>
      <w:r>
        <w:rPr>
          <w:rFonts w:cs="Arial"/>
        </w:rPr>
        <w:t>2.</w:t>
      </w:r>
      <w:r w:rsidR="007C37A7">
        <w:rPr>
          <w:rFonts w:cs="Arial"/>
        </w:rPr>
        <w:t>457</w:t>
      </w:r>
      <w:r w:rsidRPr="00CD40A7">
        <w:rPr>
          <w:rFonts w:cs="Arial"/>
        </w:rPr>
        <w:t xml:space="preserve">m. The </w:t>
      </w:r>
      <w:r>
        <w:rPr>
          <w:rFonts w:cs="Arial"/>
        </w:rPr>
        <w:t>underspend</w:t>
      </w:r>
      <w:r w:rsidRPr="00CD40A7">
        <w:rPr>
          <w:rFonts w:cs="Arial"/>
        </w:rPr>
        <w:t xml:space="preserve"> </w:t>
      </w:r>
      <w:r>
        <w:rPr>
          <w:rFonts w:cs="Arial"/>
        </w:rPr>
        <w:t xml:space="preserve">is </w:t>
      </w:r>
      <w:r w:rsidR="007C37A7">
        <w:rPr>
          <w:rFonts w:cs="Arial"/>
        </w:rPr>
        <w:t>l</w:t>
      </w:r>
      <w:r>
        <w:rPr>
          <w:rFonts w:cs="Arial"/>
        </w:rPr>
        <w:t xml:space="preserve">argely the same as that reported at Quarter 2. </w:t>
      </w:r>
    </w:p>
    <w:p w14:paraId="505CF306" w14:textId="77777777" w:rsidR="00510203" w:rsidRDefault="00510203" w:rsidP="00510203">
      <w:pPr>
        <w:spacing w:after="0"/>
        <w:rPr>
          <w:rFonts w:cs="Arial"/>
        </w:rPr>
      </w:pPr>
    </w:p>
    <w:p w14:paraId="18E41A21" w14:textId="475909C7" w:rsidR="00510203" w:rsidRDefault="00510203" w:rsidP="00510203">
      <w:pPr>
        <w:spacing w:after="0"/>
        <w:rPr>
          <w:rFonts w:cs="Arial"/>
        </w:rPr>
      </w:pPr>
      <w:r>
        <w:rPr>
          <w:rFonts w:cs="Arial"/>
        </w:rPr>
        <w:t>The most significant underspend of £1.395m is forecast for Asset Management relating to street lighting energy and various smaller items such as B</w:t>
      </w:r>
      <w:r w:rsidR="001B51AB">
        <w:rPr>
          <w:rFonts w:cs="Arial"/>
        </w:rPr>
        <w:t xml:space="preserve">uilding </w:t>
      </w:r>
      <w:r>
        <w:rPr>
          <w:rFonts w:cs="Arial"/>
        </w:rPr>
        <w:t>S</w:t>
      </w:r>
      <w:r w:rsidR="001B51AB">
        <w:rPr>
          <w:rFonts w:cs="Arial"/>
        </w:rPr>
        <w:t xml:space="preserve">chools for the Future </w:t>
      </w:r>
      <w:r>
        <w:rPr>
          <w:rFonts w:cs="Arial"/>
        </w:rPr>
        <w:t xml:space="preserve">funding. </w:t>
      </w:r>
    </w:p>
    <w:p w14:paraId="01CB1B84" w14:textId="77777777" w:rsidR="00510203" w:rsidRDefault="00510203" w:rsidP="00510203">
      <w:pPr>
        <w:spacing w:after="0"/>
        <w:rPr>
          <w:rFonts w:cs="Arial"/>
        </w:rPr>
      </w:pPr>
    </w:p>
    <w:p w14:paraId="67EB3AEB" w14:textId="77777777" w:rsidR="00510203" w:rsidRDefault="00510203" w:rsidP="00510203">
      <w:pPr>
        <w:spacing w:after="0"/>
        <w:rPr>
          <w:rFonts w:cs="Arial"/>
        </w:rPr>
      </w:pPr>
      <w:r>
        <w:rPr>
          <w:rFonts w:cs="Arial"/>
        </w:rPr>
        <w:t xml:space="preserve">In addition services across Financial Resources are reporting underspends as a result of staff vacancies. </w:t>
      </w:r>
    </w:p>
    <w:p w14:paraId="526D1D10" w14:textId="77777777" w:rsidR="00D40856" w:rsidRDefault="00D40856" w:rsidP="00510203">
      <w:pPr>
        <w:spacing w:after="0"/>
        <w:rPr>
          <w:rFonts w:cs="Arial"/>
        </w:rPr>
      </w:pPr>
    </w:p>
    <w:p w14:paraId="26A7AAE1" w14:textId="636B39C2" w:rsidR="00510203" w:rsidRDefault="00D40856" w:rsidP="00510203">
      <w:pPr>
        <w:spacing w:after="0"/>
        <w:rPr>
          <w:rFonts w:cs="Arial"/>
          <w:b/>
        </w:rPr>
      </w:pPr>
      <w:r>
        <w:rPr>
          <w:rFonts w:eastAsia="Times New Roman" w:cs="Arial"/>
          <w:b/>
          <w:lang w:eastAsia="en-GB"/>
        </w:rPr>
        <w:lastRenderedPageBreak/>
        <w:t>3</w:t>
      </w:r>
      <w:r w:rsidRPr="00FB36C0">
        <w:rPr>
          <w:rFonts w:eastAsia="Times New Roman" w:cs="Arial"/>
          <w:b/>
          <w:lang w:eastAsia="en-GB"/>
        </w:rPr>
        <w:t>.</w:t>
      </w:r>
      <w:r>
        <w:rPr>
          <w:rFonts w:eastAsia="Times New Roman" w:cs="Arial"/>
          <w:b/>
          <w:lang w:eastAsia="en-GB"/>
        </w:rPr>
        <w:t>7</w:t>
      </w:r>
      <w:r w:rsidRPr="00FB36C0">
        <w:rPr>
          <w:rFonts w:eastAsia="Times New Roman" w:cs="Arial"/>
          <w:b/>
          <w:lang w:eastAsia="en-GB"/>
        </w:rPr>
        <w:tab/>
      </w:r>
      <w:r>
        <w:rPr>
          <w:rFonts w:cs="Arial"/>
          <w:b/>
        </w:rPr>
        <w:t>Chief Executive</w:t>
      </w:r>
    </w:p>
    <w:p w14:paraId="6EB9A7E7" w14:textId="77777777" w:rsidR="00D40856" w:rsidRDefault="00D40856" w:rsidP="00510203">
      <w:pPr>
        <w:spacing w:after="0"/>
        <w:rPr>
          <w:rFonts w:cs="Arial"/>
          <w:b/>
          <w:u w:val="single"/>
        </w:rPr>
      </w:pPr>
    </w:p>
    <w:tbl>
      <w:tblPr>
        <w:tblW w:w="9753" w:type="dxa"/>
        <w:tblInd w:w="-289" w:type="dxa"/>
        <w:tblLook w:val="04A0" w:firstRow="1" w:lastRow="0" w:firstColumn="1" w:lastColumn="0" w:noHBand="0" w:noVBand="1"/>
      </w:tblPr>
      <w:tblGrid>
        <w:gridCol w:w="851"/>
        <w:gridCol w:w="2961"/>
        <w:gridCol w:w="1150"/>
        <w:gridCol w:w="1272"/>
        <w:gridCol w:w="1173"/>
        <w:gridCol w:w="1173"/>
        <w:gridCol w:w="1173"/>
      </w:tblGrid>
      <w:tr w:rsidR="00510203" w:rsidRPr="001C1000" w14:paraId="2C00B77D" w14:textId="77777777" w:rsidTr="00E118FC">
        <w:trPr>
          <w:trHeight w:val="1470"/>
        </w:trPr>
        <w:tc>
          <w:tcPr>
            <w:tcW w:w="851" w:type="dxa"/>
            <w:tcBorders>
              <w:top w:val="single" w:sz="4" w:space="0" w:color="auto"/>
              <w:left w:val="single" w:sz="4" w:space="0" w:color="auto"/>
              <w:bottom w:val="nil"/>
              <w:right w:val="single" w:sz="4" w:space="0" w:color="auto"/>
            </w:tcBorders>
            <w:shd w:val="clear" w:color="000000" w:fill="D9D9D9"/>
            <w:vAlign w:val="bottom"/>
            <w:hideMark/>
          </w:tcPr>
          <w:p w14:paraId="09533E14"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Ref</w:t>
            </w:r>
          </w:p>
        </w:tc>
        <w:tc>
          <w:tcPr>
            <w:tcW w:w="2961" w:type="dxa"/>
            <w:tcBorders>
              <w:top w:val="single" w:sz="4" w:space="0" w:color="auto"/>
              <w:left w:val="nil"/>
              <w:bottom w:val="nil"/>
              <w:right w:val="single" w:sz="4" w:space="0" w:color="auto"/>
            </w:tcBorders>
            <w:shd w:val="clear" w:color="000000" w:fill="D9D9D9"/>
            <w:vAlign w:val="bottom"/>
            <w:hideMark/>
          </w:tcPr>
          <w:p w14:paraId="59812B8E"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HEAD OF SERVICE</w:t>
            </w:r>
          </w:p>
        </w:tc>
        <w:tc>
          <w:tcPr>
            <w:tcW w:w="1150" w:type="dxa"/>
            <w:tcBorders>
              <w:top w:val="single" w:sz="4" w:space="0" w:color="auto"/>
              <w:left w:val="nil"/>
              <w:bottom w:val="nil"/>
              <w:right w:val="single" w:sz="4" w:space="0" w:color="auto"/>
            </w:tcBorders>
            <w:shd w:val="clear" w:color="000000" w:fill="D9D9D9"/>
            <w:vAlign w:val="bottom"/>
            <w:hideMark/>
          </w:tcPr>
          <w:p w14:paraId="4B70B975"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Approved Budget</w:t>
            </w:r>
          </w:p>
        </w:tc>
        <w:tc>
          <w:tcPr>
            <w:tcW w:w="1272" w:type="dxa"/>
            <w:tcBorders>
              <w:top w:val="single" w:sz="4" w:space="0" w:color="auto"/>
              <w:left w:val="nil"/>
              <w:bottom w:val="nil"/>
              <w:right w:val="single" w:sz="4" w:space="0" w:color="auto"/>
            </w:tcBorders>
            <w:shd w:val="clear" w:color="000000" w:fill="D9D9D9"/>
            <w:vAlign w:val="bottom"/>
            <w:hideMark/>
          </w:tcPr>
          <w:p w14:paraId="3E87934C"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Current Cabinet Forecast Qtr 3</w:t>
            </w:r>
          </w:p>
        </w:tc>
        <w:tc>
          <w:tcPr>
            <w:tcW w:w="1173" w:type="dxa"/>
            <w:tcBorders>
              <w:top w:val="single" w:sz="4" w:space="0" w:color="auto"/>
              <w:left w:val="nil"/>
              <w:bottom w:val="nil"/>
              <w:right w:val="single" w:sz="4" w:space="0" w:color="auto"/>
            </w:tcBorders>
            <w:shd w:val="clear" w:color="000000" w:fill="D9D9D9"/>
            <w:vAlign w:val="bottom"/>
            <w:hideMark/>
          </w:tcPr>
          <w:p w14:paraId="722AA39F"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Current Cabinet Forecast Variance</w:t>
            </w:r>
          </w:p>
        </w:tc>
        <w:tc>
          <w:tcPr>
            <w:tcW w:w="1173" w:type="dxa"/>
            <w:tcBorders>
              <w:top w:val="single" w:sz="4" w:space="0" w:color="auto"/>
              <w:left w:val="nil"/>
              <w:bottom w:val="nil"/>
              <w:right w:val="single" w:sz="4" w:space="0" w:color="auto"/>
            </w:tcBorders>
            <w:shd w:val="clear" w:color="000000" w:fill="D9D9D9"/>
            <w:vAlign w:val="bottom"/>
            <w:hideMark/>
          </w:tcPr>
          <w:p w14:paraId="68D402DF"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Previous Period Forecast Variance Qtr 2</w:t>
            </w:r>
          </w:p>
        </w:tc>
        <w:tc>
          <w:tcPr>
            <w:tcW w:w="1173" w:type="dxa"/>
            <w:tcBorders>
              <w:top w:val="single" w:sz="4" w:space="0" w:color="auto"/>
              <w:left w:val="nil"/>
              <w:bottom w:val="nil"/>
              <w:right w:val="single" w:sz="4" w:space="0" w:color="auto"/>
            </w:tcBorders>
            <w:shd w:val="clear" w:color="000000" w:fill="D9D9D9"/>
            <w:vAlign w:val="bottom"/>
            <w:hideMark/>
          </w:tcPr>
          <w:p w14:paraId="287F0572"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Current Qtr 3 Forecast Variance</w:t>
            </w:r>
          </w:p>
        </w:tc>
      </w:tr>
      <w:tr w:rsidR="00510203" w:rsidRPr="001C1000" w14:paraId="4FDE7EF5" w14:textId="77777777" w:rsidTr="00E118FC">
        <w:trPr>
          <w:trHeight w:val="559"/>
        </w:trPr>
        <w:tc>
          <w:tcPr>
            <w:tcW w:w="851" w:type="dxa"/>
            <w:tcBorders>
              <w:top w:val="nil"/>
              <w:left w:val="single" w:sz="4" w:space="0" w:color="auto"/>
              <w:bottom w:val="single" w:sz="4" w:space="0" w:color="auto"/>
              <w:right w:val="single" w:sz="4" w:space="0" w:color="auto"/>
            </w:tcBorders>
            <w:shd w:val="clear" w:color="000000" w:fill="D9D9D9"/>
            <w:vAlign w:val="bottom"/>
            <w:hideMark/>
          </w:tcPr>
          <w:p w14:paraId="328BFE6B"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 </w:t>
            </w:r>
          </w:p>
        </w:tc>
        <w:tc>
          <w:tcPr>
            <w:tcW w:w="2961" w:type="dxa"/>
            <w:tcBorders>
              <w:top w:val="nil"/>
              <w:left w:val="nil"/>
              <w:bottom w:val="single" w:sz="4" w:space="0" w:color="auto"/>
              <w:right w:val="single" w:sz="4" w:space="0" w:color="auto"/>
            </w:tcBorders>
            <w:shd w:val="clear" w:color="000000" w:fill="D9D9D9"/>
            <w:vAlign w:val="bottom"/>
            <w:hideMark/>
          </w:tcPr>
          <w:p w14:paraId="3FAC17B4"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 </w:t>
            </w:r>
          </w:p>
        </w:tc>
        <w:tc>
          <w:tcPr>
            <w:tcW w:w="1150" w:type="dxa"/>
            <w:tcBorders>
              <w:top w:val="nil"/>
              <w:left w:val="nil"/>
              <w:bottom w:val="single" w:sz="4" w:space="0" w:color="auto"/>
              <w:right w:val="single" w:sz="4" w:space="0" w:color="auto"/>
            </w:tcBorders>
            <w:shd w:val="clear" w:color="000000" w:fill="D9D9D9"/>
            <w:vAlign w:val="bottom"/>
            <w:hideMark/>
          </w:tcPr>
          <w:p w14:paraId="48161D25"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£m</w:t>
            </w:r>
          </w:p>
        </w:tc>
        <w:tc>
          <w:tcPr>
            <w:tcW w:w="1272" w:type="dxa"/>
            <w:tcBorders>
              <w:top w:val="nil"/>
              <w:left w:val="nil"/>
              <w:bottom w:val="single" w:sz="4" w:space="0" w:color="auto"/>
              <w:right w:val="single" w:sz="4" w:space="0" w:color="auto"/>
            </w:tcBorders>
            <w:shd w:val="clear" w:color="000000" w:fill="D9D9D9"/>
            <w:vAlign w:val="bottom"/>
            <w:hideMark/>
          </w:tcPr>
          <w:p w14:paraId="1368FC98"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£m</w:t>
            </w:r>
          </w:p>
        </w:tc>
        <w:tc>
          <w:tcPr>
            <w:tcW w:w="1173" w:type="dxa"/>
            <w:tcBorders>
              <w:top w:val="nil"/>
              <w:left w:val="nil"/>
              <w:bottom w:val="single" w:sz="4" w:space="0" w:color="auto"/>
              <w:right w:val="single" w:sz="4" w:space="0" w:color="auto"/>
            </w:tcBorders>
            <w:shd w:val="clear" w:color="000000" w:fill="D9D9D9"/>
            <w:vAlign w:val="bottom"/>
            <w:hideMark/>
          </w:tcPr>
          <w:p w14:paraId="3DAF1921"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£m</w:t>
            </w:r>
          </w:p>
        </w:tc>
        <w:tc>
          <w:tcPr>
            <w:tcW w:w="1173" w:type="dxa"/>
            <w:tcBorders>
              <w:top w:val="nil"/>
              <w:left w:val="nil"/>
              <w:bottom w:val="single" w:sz="4" w:space="0" w:color="auto"/>
              <w:right w:val="single" w:sz="4" w:space="0" w:color="auto"/>
            </w:tcBorders>
            <w:shd w:val="clear" w:color="000000" w:fill="D9D9D9"/>
            <w:vAlign w:val="bottom"/>
            <w:hideMark/>
          </w:tcPr>
          <w:p w14:paraId="0163CC87"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£m</w:t>
            </w:r>
          </w:p>
        </w:tc>
        <w:tc>
          <w:tcPr>
            <w:tcW w:w="1173" w:type="dxa"/>
            <w:tcBorders>
              <w:top w:val="nil"/>
              <w:left w:val="nil"/>
              <w:bottom w:val="single" w:sz="4" w:space="0" w:color="auto"/>
              <w:right w:val="single" w:sz="4" w:space="0" w:color="auto"/>
            </w:tcBorders>
            <w:shd w:val="clear" w:color="000000" w:fill="D9D9D9"/>
            <w:vAlign w:val="bottom"/>
            <w:hideMark/>
          </w:tcPr>
          <w:p w14:paraId="6CA9F9BB"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w:t>
            </w:r>
          </w:p>
        </w:tc>
      </w:tr>
      <w:tr w:rsidR="00510203" w:rsidRPr="001C1000" w14:paraId="6EF68B48" w14:textId="77777777" w:rsidTr="00E118FC">
        <w:trPr>
          <w:trHeight w:val="559"/>
        </w:trPr>
        <w:tc>
          <w:tcPr>
            <w:tcW w:w="851" w:type="dxa"/>
            <w:tcBorders>
              <w:top w:val="nil"/>
              <w:left w:val="single" w:sz="4" w:space="0" w:color="auto"/>
              <w:bottom w:val="single" w:sz="4" w:space="0" w:color="auto"/>
              <w:right w:val="single" w:sz="4" w:space="0" w:color="auto"/>
            </w:tcBorders>
            <w:shd w:val="clear" w:color="000000" w:fill="FFFFFF"/>
            <w:noWrap/>
            <w:hideMark/>
          </w:tcPr>
          <w:p w14:paraId="25B96455"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3.7.1</w:t>
            </w:r>
          </w:p>
        </w:tc>
        <w:tc>
          <w:tcPr>
            <w:tcW w:w="2961" w:type="dxa"/>
            <w:tcBorders>
              <w:top w:val="nil"/>
              <w:left w:val="nil"/>
              <w:bottom w:val="single" w:sz="4" w:space="0" w:color="auto"/>
              <w:right w:val="single" w:sz="4" w:space="0" w:color="auto"/>
            </w:tcBorders>
            <w:shd w:val="clear" w:color="000000" w:fill="FFFFFF"/>
            <w:hideMark/>
          </w:tcPr>
          <w:p w14:paraId="544AD6DC"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CHIEF EXECUTIVE SERVICES</w:t>
            </w:r>
          </w:p>
        </w:tc>
        <w:tc>
          <w:tcPr>
            <w:tcW w:w="1150" w:type="dxa"/>
            <w:tcBorders>
              <w:top w:val="nil"/>
              <w:left w:val="nil"/>
              <w:bottom w:val="single" w:sz="4" w:space="0" w:color="auto"/>
              <w:right w:val="single" w:sz="4" w:space="0" w:color="auto"/>
            </w:tcBorders>
            <w:shd w:val="clear" w:color="auto" w:fill="auto"/>
            <w:hideMark/>
          </w:tcPr>
          <w:p w14:paraId="5621A8C9"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-0.172 </w:t>
            </w:r>
          </w:p>
        </w:tc>
        <w:tc>
          <w:tcPr>
            <w:tcW w:w="1272" w:type="dxa"/>
            <w:tcBorders>
              <w:top w:val="nil"/>
              <w:left w:val="nil"/>
              <w:bottom w:val="single" w:sz="4" w:space="0" w:color="auto"/>
              <w:right w:val="single" w:sz="4" w:space="0" w:color="auto"/>
            </w:tcBorders>
            <w:shd w:val="clear" w:color="000000" w:fill="FFFFFF"/>
            <w:hideMark/>
          </w:tcPr>
          <w:p w14:paraId="64551251"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-0.097 </w:t>
            </w:r>
          </w:p>
        </w:tc>
        <w:tc>
          <w:tcPr>
            <w:tcW w:w="1173" w:type="dxa"/>
            <w:tcBorders>
              <w:top w:val="nil"/>
              <w:left w:val="nil"/>
              <w:bottom w:val="single" w:sz="4" w:space="0" w:color="auto"/>
              <w:right w:val="single" w:sz="4" w:space="0" w:color="auto"/>
            </w:tcBorders>
            <w:shd w:val="clear" w:color="000000" w:fill="FFFFFF"/>
            <w:hideMark/>
          </w:tcPr>
          <w:p w14:paraId="2EAC8B76"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0.075 </w:t>
            </w:r>
          </w:p>
        </w:tc>
        <w:tc>
          <w:tcPr>
            <w:tcW w:w="1173" w:type="dxa"/>
            <w:tcBorders>
              <w:top w:val="nil"/>
              <w:left w:val="nil"/>
              <w:bottom w:val="single" w:sz="4" w:space="0" w:color="auto"/>
              <w:right w:val="single" w:sz="4" w:space="0" w:color="auto"/>
            </w:tcBorders>
            <w:shd w:val="clear" w:color="000000" w:fill="FFFFFF"/>
            <w:hideMark/>
          </w:tcPr>
          <w:p w14:paraId="2C6F0622"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-0.219 </w:t>
            </w:r>
          </w:p>
        </w:tc>
        <w:tc>
          <w:tcPr>
            <w:tcW w:w="1173" w:type="dxa"/>
            <w:tcBorders>
              <w:top w:val="nil"/>
              <w:left w:val="nil"/>
              <w:bottom w:val="single" w:sz="4" w:space="0" w:color="auto"/>
              <w:right w:val="single" w:sz="4" w:space="0" w:color="auto"/>
            </w:tcBorders>
            <w:shd w:val="clear" w:color="000000" w:fill="FFFFFF"/>
            <w:hideMark/>
          </w:tcPr>
          <w:p w14:paraId="3A4B1F24"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43.60%</w:t>
            </w:r>
          </w:p>
        </w:tc>
      </w:tr>
      <w:tr w:rsidR="00510203" w:rsidRPr="001C1000" w14:paraId="27BCBC33" w14:textId="77777777" w:rsidTr="00E118FC">
        <w:trPr>
          <w:trHeight w:val="559"/>
        </w:trPr>
        <w:tc>
          <w:tcPr>
            <w:tcW w:w="851" w:type="dxa"/>
            <w:tcBorders>
              <w:top w:val="nil"/>
              <w:left w:val="single" w:sz="4" w:space="0" w:color="auto"/>
              <w:bottom w:val="single" w:sz="4" w:space="0" w:color="auto"/>
              <w:right w:val="single" w:sz="4" w:space="0" w:color="auto"/>
            </w:tcBorders>
            <w:shd w:val="clear" w:color="000000" w:fill="FFFFFF"/>
            <w:noWrap/>
            <w:hideMark/>
          </w:tcPr>
          <w:p w14:paraId="034A35E2"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3.7.2</w:t>
            </w:r>
          </w:p>
        </w:tc>
        <w:tc>
          <w:tcPr>
            <w:tcW w:w="2961" w:type="dxa"/>
            <w:tcBorders>
              <w:top w:val="nil"/>
              <w:left w:val="nil"/>
              <w:bottom w:val="single" w:sz="4" w:space="0" w:color="auto"/>
              <w:right w:val="single" w:sz="4" w:space="0" w:color="auto"/>
            </w:tcBorders>
            <w:shd w:val="clear" w:color="000000" w:fill="FFFFFF"/>
            <w:hideMark/>
          </w:tcPr>
          <w:p w14:paraId="5101C1CB"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SERVICE COMMUNICATIONS</w:t>
            </w:r>
          </w:p>
        </w:tc>
        <w:tc>
          <w:tcPr>
            <w:tcW w:w="1150" w:type="dxa"/>
            <w:tcBorders>
              <w:top w:val="nil"/>
              <w:left w:val="nil"/>
              <w:bottom w:val="single" w:sz="4" w:space="0" w:color="auto"/>
              <w:right w:val="single" w:sz="4" w:space="0" w:color="auto"/>
            </w:tcBorders>
            <w:shd w:val="clear" w:color="000000" w:fill="FFFFFF"/>
            <w:hideMark/>
          </w:tcPr>
          <w:p w14:paraId="4B746669"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0.830 </w:t>
            </w:r>
          </w:p>
        </w:tc>
        <w:tc>
          <w:tcPr>
            <w:tcW w:w="1272" w:type="dxa"/>
            <w:tcBorders>
              <w:top w:val="nil"/>
              <w:left w:val="nil"/>
              <w:bottom w:val="single" w:sz="4" w:space="0" w:color="auto"/>
              <w:right w:val="single" w:sz="4" w:space="0" w:color="auto"/>
            </w:tcBorders>
            <w:shd w:val="clear" w:color="000000" w:fill="FFFFFF"/>
            <w:hideMark/>
          </w:tcPr>
          <w:p w14:paraId="4B899692"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0.687 </w:t>
            </w:r>
          </w:p>
        </w:tc>
        <w:tc>
          <w:tcPr>
            <w:tcW w:w="1173" w:type="dxa"/>
            <w:tcBorders>
              <w:top w:val="nil"/>
              <w:left w:val="nil"/>
              <w:bottom w:val="single" w:sz="4" w:space="0" w:color="auto"/>
              <w:right w:val="single" w:sz="4" w:space="0" w:color="auto"/>
            </w:tcBorders>
            <w:shd w:val="clear" w:color="000000" w:fill="FFFFFF"/>
            <w:hideMark/>
          </w:tcPr>
          <w:p w14:paraId="7862435D"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-0.143 </w:t>
            </w:r>
          </w:p>
        </w:tc>
        <w:tc>
          <w:tcPr>
            <w:tcW w:w="1173" w:type="dxa"/>
            <w:tcBorders>
              <w:top w:val="nil"/>
              <w:left w:val="nil"/>
              <w:bottom w:val="single" w:sz="4" w:space="0" w:color="auto"/>
              <w:right w:val="single" w:sz="4" w:space="0" w:color="auto"/>
            </w:tcBorders>
            <w:shd w:val="clear" w:color="000000" w:fill="FFFFFF"/>
            <w:hideMark/>
          </w:tcPr>
          <w:p w14:paraId="6CBF4F4D"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-0.143 </w:t>
            </w:r>
          </w:p>
        </w:tc>
        <w:tc>
          <w:tcPr>
            <w:tcW w:w="1173" w:type="dxa"/>
            <w:tcBorders>
              <w:top w:val="nil"/>
              <w:left w:val="nil"/>
              <w:bottom w:val="single" w:sz="4" w:space="0" w:color="auto"/>
              <w:right w:val="single" w:sz="4" w:space="0" w:color="auto"/>
            </w:tcBorders>
            <w:shd w:val="clear" w:color="000000" w:fill="FFFFFF"/>
            <w:hideMark/>
          </w:tcPr>
          <w:p w14:paraId="02523B61"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-17.23%</w:t>
            </w:r>
          </w:p>
        </w:tc>
      </w:tr>
      <w:tr w:rsidR="00510203" w:rsidRPr="001C1000" w14:paraId="0884B5DD" w14:textId="77777777" w:rsidTr="00E118FC">
        <w:trPr>
          <w:trHeight w:val="559"/>
        </w:trPr>
        <w:tc>
          <w:tcPr>
            <w:tcW w:w="851" w:type="dxa"/>
            <w:tcBorders>
              <w:top w:val="nil"/>
              <w:left w:val="single" w:sz="4" w:space="0" w:color="auto"/>
              <w:bottom w:val="single" w:sz="4" w:space="0" w:color="auto"/>
              <w:right w:val="single" w:sz="4" w:space="0" w:color="auto"/>
            </w:tcBorders>
            <w:shd w:val="clear" w:color="000000" w:fill="FFFFFF"/>
            <w:noWrap/>
            <w:hideMark/>
          </w:tcPr>
          <w:p w14:paraId="0E8CC0B5"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3.7.3</w:t>
            </w:r>
          </w:p>
        </w:tc>
        <w:tc>
          <w:tcPr>
            <w:tcW w:w="2961" w:type="dxa"/>
            <w:tcBorders>
              <w:top w:val="nil"/>
              <w:left w:val="nil"/>
              <w:bottom w:val="single" w:sz="4" w:space="0" w:color="auto"/>
              <w:right w:val="single" w:sz="4" w:space="0" w:color="auto"/>
            </w:tcBorders>
            <w:shd w:val="clear" w:color="000000" w:fill="FFFFFF"/>
            <w:hideMark/>
          </w:tcPr>
          <w:p w14:paraId="48C99182"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LARGE SPECIFIC GRANTS TO SUPPORT THE AUTHORITY</w:t>
            </w:r>
          </w:p>
        </w:tc>
        <w:tc>
          <w:tcPr>
            <w:tcW w:w="1150" w:type="dxa"/>
            <w:tcBorders>
              <w:top w:val="nil"/>
              <w:left w:val="nil"/>
              <w:bottom w:val="single" w:sz="4" w:space="0" w:color="auto"/>
              <w:right w:val="single" w:sz="4" w:space="0" w:color="auto"/>
            </w:tcBorders>
            <w:shd w:val="clear" w:color="000000" w:fill="FFFFFF"/>
            <w:hideMark/>
          </w:tcPr>
          <w:p w14:paraId="77DFF314"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-7.784 </w:t>
            </w:r>
          </w:p>
        </w:tc>
        <w:tc>
          <w:tcPr>
            <w:tcW w:w="1272" w:type="dxa"/>
            <w:tcBorders>
              <w:top w:val="nil"/>
              <w:left w:val="nil"/>
              <w:bottom w:val="single" w:sz="4" w:space="0" w:color="auto"/>
              <w:right w:val="single" w:sz="4" w:space="0" w:color="auto"/>
            </w:tcBorders>
            <w:shd w:val="clear" w:color="000000" w:fill="FFFFFF"/>
            <w:hideMark/>
          </w:tcPr>
          <w:p w14:paraId="657D31B6"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-7.985 </w:t>
            </w:r>
          </w:p>
        </w:tc>
        <w:tc>
          <w:tcPr>
            <w:tcW w:w="1173" w:type="dxa"/>
            <w:tcBorders>
              <w:top w:val="nil"/>
              <w:left w:val="nil"/>
              <w:bottom w:val="single" w:sz="4" w:space="0" w:color="auto"/>
              <w:right w:val="single" w:sz="4" w:space="0" w:color="auto"/>
            </w:tcBorders>
            <w:shd w:val="clear" w:color="000000" w:fill="FFFFFF"/>
            <w:hideMark/>
          </w:tcPr>
          <w:p w14:paraId="0EE8FF3E"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-0.201 </w:t>
            </w:r>
          </w:p>
        </w:tc>
        <w:tc>
          <w:tcPr>
            <w:tcW w:w="1173" w:type="dxa"/>
            <w:tcBorders>
              <w:top w:val="nil"/>
              <w:left w:val="nil"/>
              <w:bottom w:val="single" w:sz="4" w:space="0" w:color="auto"/>
              <w:right w:val="single" w:sz="4" w:space="0" w:color="auto"/>
            </w:tcBorders>
            <w:shd w:val="clear" w:color="000000" w:fill="FFFFFF"/>
            <w:hideMark/>
          </w:tcPr>
          <w:p w14:paraId="1B94A51F"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-0.201 </w:t>
            </w:r>
          </w:p>
        </w:tc>
        <w:tc>
          <w:tcPr>
            <w:tcW w:w="1173" w:type="dxa"/>
            <w:tcBorders>
              <w:top w:val="nil"/>
              <w:left w:val="nil"/>
              <w:bottom w:val="single" w:sz="4" w:space="0" w:color="auto"/>
              <w:right w:val="single" w:sz="4" w:space="0" w:color="auto"/>
            </w:tcBorders>
            <w:shd w:val="clear" w:color="000000" w:fill="FFFFFF"/>
            <w:hideMark/>
          </w:tcPr>
          <w:p w14:paraId="308F678F"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-2.58%</w:t>
            </w:r>
          </w:p>
        </w:tc>
      </w:tr>
      <w:tr w:rsidR="00510203" w:rsidRPr="001C1000" w14:paraId="4C154A8B" w14:textId="77777777" w:rsidTr="00E118FC">
        <w:trPr>
          <w:trHeight w:val="559"/>
        </w:trPr>
        <w:tc>
          <w:tcPr>
            <w:tcW w:w="851" w:type="dxa"/>
            <w:tcBorders>
              <w:top w:val="nil"/>
              <w:left w:val="single" w:sz="4" w:space="0" w:color="auto"/>
              <w:bottom w:val="single" w:sz="4" w:space="0" w:color="auto"/>
              <w:right w:val="single" w:sz="4" w:space="0" w:color="auto"/>
            </w:tcBorders>
            <w:shd w:val="clear" w:color="000000" w:fill="FFFFFF"/>
            <w:noWrap/>
            <w:hideMark/>
          </w:tcPr>
          <w:p w14:paraId="66419BC0" w14:textId="77777777" w:rsidR="00510203" w:rsidRPr="001C1000" w:rsidRDefault="00510203" w:rsidP="00E118FC">
            <w:pPr>
              <w:spacing w:after="0"/>
              <w:jc w:val="center"/>
              <w:rPr>
                <w:rFonts w:eastAsia="Times New Roman" w:cs="Arial"/>
                <w:b/>
                <w:bCs/>
                <w:sz w:val="20"/>
                <w:szCs w:val="20"/>
                <w:lang w:eastAsia="en-GB"/>
              </w:rPr>
            </w:pPr>
            <w:r w:rsidRPr="001C1000">
              <w:rPr>
                <w:rFonts w:eastAsia="Times New Roman" w:cs="Arial"/>
                <w:b/>
                <w:bCs/>
                <w:sz w:val="20"/>
                <w:szCs w:val="20"/>
                <w:lang w:eastAsia="en-GB"/>
              </w:rPr>
              <w:t>3.7.4</w:t>
            </w:r>
          </w:p>
        </w:tc>
        <w:tc>
          <w:tcPr>
            <w:tcW w:w="2961" w:type="dxa"/>
            <w:tcBorders>
              <w:top w:val="nil"/>
              <w:left w:val="nil"/>
              <w:bottom w:val="single" w:sz="4" w:space="0" w:color="auto"/>
              <w:right w:val="single" w:sz="4" w:space="0" w:color="auto"/>
            </w:tcBorders>
            <w:shd w:val="clear" w:color="000000" w:fill="FFFFFF"/>
            <w:hideMark/>
          </w:tcPr>
          <w:p w14:paraId="7E0104FD" w14:textId="77777777" w:rsidR="00510203" w:rsidRPr="001C1000" w:rsidRDefault="00510203" w:rsidP="00D40856">
            <w:pPr>
              <w:spacing w:after="0"/>
              <w:jc w:val="left"/>
              <w:rPr>
                <w:rFonts w:eastAsia="Times New Roman" w:cs="Arial"/>
                <w:sz w:val="20"/>
                <w:szCs w:val="20"/>
                <w:lang w:eastAsia="en-GB"/>
              </w:rPr>
            </w:pPr>
            <w:r w:rsidRPr="001C1000">
              <w:rPr>
                <w:rFonts w:eastAsia="Times New Roman" w:cs="Arial"/>
                <w:sz w:val="20"/>
                <w:szCs w:val="20"/>
                <w:lang w:eastAsia="en-GB"/>
              </w:rPr>
              <w:t>NON SERVICE ISSUES CORPORATE BUDGETS</w:t>
            </w:r>
          </w:p>
        </w:tc>
        <w:tc>
          <w:tcPr>
            <w:tcW w:w="1150" w:type="dxa"/>
            <w:tcBorders>
              <w:top w:val="nil"/>
              <w:left w:val="nil"/>
              <w:bottom w:val="single" w:sz="4" w:space="0" w:color="auto"/>
              <w:right w:val="single" w:sz="4" w:space="0" w:color="auto"/>
            </w:tcBorders>
            <w:shd w:val="clear" w:color="000000" w:fill="FFFFFF"/>
            <w:hideMark/>
          </w:tcPr>
          <w:p w14:paraId="082961DD"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20.656 </w:t>
            </w:r>
          </w:p>
        </w:tc>
        <w:tc>
          <w:tcPr>
            <w:tcW w:w="1272" w:type="dxa"/>
            <w:tcBorders>
              <w:top w:val="nil"/>
              <w:left w:val="nil"/>
              <w:bottom w:val="single" w:sz="4" w:space="0" w:color="auto"/>
              <w:right w:val="single" w:sz="4" w:space="0" w:color="auto"/>
            </w:tcBorders>
            <w:shd w:val="clear" w:color="000000" w:fill="FFFFFF"/>
            <w:hideMark/>
          </w:tcPr>
          <w:p w14:paraId="369C09D1"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13.511 </w:t>
            </w:r>
          </w:p>
        </w:tc>
        <w:tc>
          <w:tcPr>
            <w:tcW w:w="1173" w:type="dxa"/>
            <w:tcBorders>
              <w:top w:val="nil"/>
              <w:left w:val="nil"/>
              <w:bottom w:val="single" w:sz="4" w:space="0" w:color="auto"/>
              <w:right w:val="single" w:sz="4" w:space="0" w:color="auto"/>
            </w:tcBorders>
            <w:shd w:val="clear" w:color="000000" w:fill="FFFFFF"/>
            <w:hideMark/>
          </w:tcPr>
          <w:p w14:paraId="1B31690D"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-7.145 </w:t>
            </w:r>
          </w:p>
        </w:tc>
        <w:tc>
          <w:tcPr>
            <w:tcW w:w="1173" w:type="dxa"/>
            <w:tcBorders>
              <w:top w:val="nil"/>
              <w:left w:val="nil"/>
              <w:bottom w:val="single" w:sz="4" w:space="0" w:color="auto"/>
              <w:right w:val="single" w:sz="4" w:space="0" w:color="auto"/>
            </w:tcBorders>
            <w:shd w:val="clear" w:color="000000" w:fill="FFFFFF"/>
            <w:hideMark/>
          </w:tcPr>
          <w:p w14:paraId="5197CE32"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 xml:space="preserve">-4.855 </w:t>
            </w:r>
          </w:p>
        </w:tc>
        <w:tc>
          <w:tcPr>
            <w:tcW w:w="1173" w:type="dxa"/>
            <w:tcBorders>
              <w:top w:val="nil"/>
              <w:left w:val="nil"/>
              <w:bottom w:val="single" w:sz="4" w:space="0" w:color="auto"/>
              <w:right w:val="single" w:sz="4" w:space="0" w:color="auto"/>
            </w:tcBorders>
            <w:shd w:val="clear" w:color="000000" w:fill="FFFFFF"/>
            <w:hideMark/>
          </w:tcPr>
          <w:p w14:paraId="47CE3007" w14:textId="77777777" w:rsidR="00510203" w:rsidRPr="001C1000" w:rsidRDefault="00510203" w:rsidP="00E118FC">
            <w:pPr>
              <w:spacing w:after="0"/>
              <w:jc w:val="right"/>
              <w:rPr>
                <w:rFonts w:eastAsia="Times New Roman" w:cs="Arial"/>
                <w:sz w:val="20"/>
                <w:szCs w:val="20"/>
                <w:lang w:eastAsia="en-GB"/>
              </w:rPr>
            </w:pPr>
            <w:r w:rsidRPr="001C1000">
              <w:rPr>
                <w:rFonts w:eastAsia="Times New Roman" w:cs="Arial"/>
                <w:sz w:val="20"/>
                <w:szCs w:val="20"/>
                <w:lang w:eastAsia="en-GB"/>
              </w:rPr>
              <w:t>-34.59%</w:t>
            </w:r>
          </w:p>
        </w:tc>
      </w:tr>
      <w:tr w:rsidR="00510203" w:rsidRPr="001C1000" w14:paraId="2514F427" w14:textId="77777777" w:rsidTr="00E118FC">
        <w:trPr>
          <w:trHeight w:val="559"/>
        </w:trPr>
        <w:tc>
          <w:tcPr>
            <w:tcW w:w="851" w:type="dxa"/>
            <w:tcBorders>
              <w:top w:val="nil"/>
              <w:left w:val="single" w:sz="4" w:space="0" w:color="auto"/>
              <w:bottom w:val="single" w:sz="4" w:space="0" w:color="auto"/>
              <w:right w:val="single" w:sz="4" w:space="0" w:color="auto"/>
            </w:tcBorders>
            <w:shd w:val="clear" w:color="000000" w:fill="D9D9D9"/>
            <w:vAlign w:val="center"/>
            <w:hideMark/>
          </w:tcPr>
          <w:p w14:paraId="67D993B4" w14:textId="77777777" w:rsidR="00510203" w:rsidRPr="001C1000" w:rsidRDefault="00510203" w:rsidP="00E118FC">
            <w:pPr>
              <w:spacing w:after="0"/>
              <w:jc w:val="right"/>
              <w:rPr>
                <w:rFonts w:eastAsia="Times New Roman" w:cs="Arial"/>
                <w:b/>
                <w:bCs/>
                <w:sz w:val="20"/>
                <w:szCs w:val="20"/>
                <w:lang w:eastAsia="en-GB"/>
              </w:rPr>
            </w:pPr>
            <w:r w:rsidRPr="001C1000">
              <w:rPr>
                <w:rFonts w:eastAsia="Times New Roman" w:cs="Arial"/>
                <w:b/>
                <w:bCs/>
                <w:sz w:val="20"/>
                <w:szCs w:val="20"/>
                <w:lang w:eastAsia="en-GB"/>
              </w:rPr>
              <w:t> </w:t>
            </w:r>
          </w:p>
        </w:tc>
        <w:tc>
          <w:tcPr>
            <w:tcW w:w="2961" w:type="dxa"/>
            <w:tcBorders>
              <w:top w:val="nil"/>
              <w:left w:val="nil"/>
              <w:bottom w:val="single" w:sz="4" w:space="0" w:color="auto"/>
              <w:right w:val="single" w:sz="4" w:space="0" w:color="auto"/>
            </w:tcBorders>
            <w:shd w:val="clear" w:color="000000" w:fill="D9D9D9"/>
            <w:vAlign w:val="center"/>
            <w:hideMark/>
          </w:tcPr>
          <w:p w14:paraId="21045F19" w14:textId="77777777" w:rsidR="00510203" w:rsidRPr="001C1000" w:rsidRDefault="00510203" w:rsidP="00D40856">
            <w:pPr>
              <w:spacing w:after="0"/>
              <w:jc w:val="left"/>
              <w:rPr>
                <w:rFonts w:eastAsia="Times New Roman" w:cs="Arial"/>
                <w:b/>
                <w:bCs/>
                <w:sz w:val="20"/>
                <w:szCs w:val="20"/>
                <w:lang w:eastAsia="en-GB"/>
              </w:rPr>
            </w:pPr>
            <w:r w:rsidRPr="001C1000">
              <w:rPr>
                <w:rFonts w:eastAsia="Times New Roman" w:cs="Arial"/>
                <w:b/>
                <w:bCs/>
                <w:sz w:val="20"/>
                <w:szCs w:val="20"/>
                <w:lang w:eastAsia="en-GB"/>
              </w:rPr>
              <w:t>TOTAL - CHIEF EXECUTIVE</w:t>
            </w:r>
          </w:p>
        </w:tc>
        <w:tc>
          <w:tcPr>
            <w:tcW w:w="1150" w:type="dxa"/>
            <w:tcBorders>
              <w:top w:val="nil"/>
              <w:left w:val="nil"/>
              <w:bottom w:val="single" w:sz="4" w:space="0" w:color="auto"/>
              <w:right w:val="single" w:sz="4" w:space="0" w:color="auto"/>
            </w:tcBorders>
            <w:shd w:val="clear" w:color="000000" w:fill="D9D9D9"/>
            <w:vAlign w:val="center"/>
            <w:hideMark/>
          </w:tcPr>
          <w:p w14:paraId="3FC0FB7A" w14:textId="77777777" w:rsidR="00510203" w:rsidRPr="001C1000" w:rsidRDefault="00510203" w:rsidP="00E118FC">
            <w:pPr>
              <w:spacing w:after="0"/>
              <w:jc w:val="right"/>
              <w:rPr>
                <w:rFonts w:eastAsia="Times New Roman" w:cs="Arial"/>
                <w:b/>
                <w:bCs/>
                <w:sz w:val="20"/>
                <w:szCs w:val="20"/>
                <w:lang w:eastAsia="en-GB"/>
              </w:rPr>
            </w:pPr>
            <w:r w:rsidRPr="001C1000">
              <w:rPr>
                <w:rFonts w:eastAsia="Times New Roman" w:cs="Arial"/>
                <w:b/>
                <w:bCs/>
                <w:sz w:val="20"/>
                <w:szCs w:val="20"/>
                <w:lang w:eastAsia="en-GB"/>
              </w:rPr>
              <w:t xml:space="preserve">13.530 </w:t>
            </w:r>
          </w:p>
        </w:tc>
        <w:tc>
          <w:tcPr>
            <w:tcW w:w="1272" w:type="dxa"/>
            <w:tcBorders>
              <w:top w:val="nil"/>
              <w:left w:val="nil"/>
              <w:bottom w:val="single" w:sz="4" w:space="0" w:color="auto"/>
              <w:right w:val="single" w:sz="4" w:space="0" w:color="auto"/>
            </w:tcBorders>
            <w:shd w:val="clear" w:color="000000" w:fill="D9D9D9"/>
            <w:vAlign w:val="center"/>
            <w:hideMark/>
          </w:tcPr>
          <w:p w14:paraId="697C5667" w14:textId="77777777" w:rsidR="00510203" w:rsidRPr="001C1000" w:rsidRDefault="00510203" w:rsidP="00E118FC">
            <w:pPr>
              <w:spacing w:after="0"/>
              <w:jc w:val="right"/>
              <w:rPr>
                <w:rFonts w:eastAsia="Times New Roman" w:cs="Arial"/>
                <w:b/>
                <w:bCs/>
                <w:sz w:val="20"/>
                <w:szCs w:val="20"/>
                <w:lang w:eastAsia="en-GB"/>
              </w:rPr>
            </w:pPr>
            <w:r w:rsidRPr="001C1000">
              <w:rPr>
                <w:rFonts w:eastAsia="Times New Roman" w:cs="Arial"/>
                <w:b/>
                <w:bCs/>
                <w:sz w:val="20"/>
                <w:szCs w:val="20"/>
                <w:lang w:eastAsia="en-GB"/>
              </w:rPr>
              <w:t xml:space="preserve">6.116 </w:t>
            </w:r>
          </w:p>
        </w:tc>
        <w:tc>
          <w:tcPr>
            <w:tcW w:w="1173" w:type="dxa"/>
            <w:tcBorders>
              <w:top w:val="nil"/>
              <w:left w:val="nil"/>
              <w:bottom w:val="single" w:sz="4" w:space="0" w:color="auto"/>
              <w:right w:val="single" w:sz="4" w:space="0" w:color="auto"/>
            </w:tcBorders>
            <w:shd w:val="clear" w:color="000000" w:fill="D9D9D9"/>
            <w:vAlign w:val="center"/>
            <w:hideMark/>
          </w:tcPr>
          <w:p w14:paraId="620B9A83" w14:textId="77777777" w:rsidR="00510203" w:rsidRPr="001C1000" w:rsidRDefault="00510203" w:rsidP="00E118FC">
            <w:pPr>
              <w:spacing w:after="0"/>
              <w:jc w:val="right"/>
              <w:rPr>
                <w:rFonts w:eastAsia="Times New Roman" w:cs="Arial"/>
                <w:b/>
                <w:bCs/>
                <w:sz w:val="20"/>
                <w:szCs w:val="20"/>
                <w:lang w:eastAsia="en-GB"/>
              </w:rPr>
            </w:pPr>
            <w:r w:rsidRPr="001C1000">
              <w:rPr>
                <w:rFonts w:eastAsia="Times New Roman" w:cs="Arial"/>
                <w:b/>
                <w:bCs/>
                <w:sz w:val="20"/>
                <w:szCs w:val="20"/>
                <w:lang w:eastAsia="en-GB"/>
              </w:rPr>
              <w:t xml:space="preserve">-7.414 </w:t>
            </w:r>
          </w:p>
        </w:tc>
        <w:tc>
          <w:tcPr>
            <w:tcW w:w="1173" w:type="dxa"/>
            <w:tcBorders>
              <w:top w:val="nil"/>
              <w:left w:val="nil"/>
              <w:bottom w:val="single" w:sz="4" w:space="0" w:color="auto"/>
              <w:right w:val="single" w:sz="4" w:space="0" w:color="auto"/>
            </w:tcBorders>
            <w:shd w:val="clear" w:color="000000" w:fill="D9D9D9"/>
            <w:vAlign w:val="center"/>
            <w:hideMark/>
          </w:tcPr>
          <w:p w14:paraId="72337F69" w14:textId="77777777" w:rsidR="00510203" w:rsidRPr="001C1000" w:rsidRDefault="00510203" w:rsidP="00E118FC">
            <w:pPr>
              <w:spacing w:after="0"/>
              <w:jc w:val="right"/>
              <w:rPr>
                <w:rFonts w:eastAsia="Times New Roman" w:cs="Arial"/>
                <w:b/>
                <w:bCs/>
                <w:sz w:val="20"/>
                <w:szCs w:val="20"/>
                <w:lang w:eastAsia="en-GB"/>
              </w:rPr>
            </w:pPr>
            <w:r w:rsidRPr="001C1000">
              <w:rPr>
                <w:rFonts w:eastAsia="Times New Roman" w:cs="Arial"/>
                <w:b/>
                <w:bCs/>
                <w:sz w:val="20"/>
                <w:szCs w:val="20"/>
                <w:lang w:eastAsia="en-GB"/>
              </w:rPr>
              <w:t xml:space="preserve">-5.418 </w:t>
            </w:r>
          </w:p>
        </w:tc>
        <w:tc>
          <w:tcPr>
            <w:tcW w:w="1173" w:type="dxa"/>
            <w:tcBorders>
              <w:top w:val="nil"/>
              <w:left w:val="nil"/>
              <w:bottom w:val="single" w:sz="4" w:space="0" w:color="auto"/>
              <w:right w:val="single" w:sz="4" w:space="0" w:color="auto"/>
            </w:tcBorders>
            <w:shd w:val="clear" w:color="000000" w:fill="D9D9D9"/>
            <w:vAlign w:val="center"/>
            <w:hideMark/>
          </w:tcPr>
          <w:p w14:paraId="3CABC798" w14:textId="77777777" w:rsidR="00510203" w:rsidRPr="001C1000" w:rsidRDefault="00510203" w:rsidP="00E118FC">
            <w:pPr>
              <w:spacing w:after="0"/>
              <w:jc w:val="right"/>
              <w:rPr>
                <w:rFonts w:eastAsia="Times New Roman" w:cs="Arial"/>
                <w:b/>
                <w:bCs/>
                <w:sz w:val="20"/>
                <w:szCs w:val="20"/>
                <w:lang w:eastAsia="en-GB"/>
              </w:rPr>
            </w:pPr>
            <w:r w:rsidRPr="001C1000">
              <w:rPr>
                <w:rFonts w:eastAsia="Times New Roman" w:cs="Arial"/>
                <w:b/>
                <w:bCs/>
                <w:sz w:val="20"/>
                <w:szCs w:val="20"/>
                <w:lang w:eastAsia="en-GB"/>
              </w:rPr>
              <w:t>-54.80%</w:t>
            </w:r>
          </w:p>
        </w:tc>
      </w:tr>
    </w:tbl>
    <w:p w14:paraId="2FE73F28" w14:textId="77777777" w:rsidR="00510203" w:rsidRDefault="00510203" w:rsidP="00510203">
      <w:pPr>
        <w:spacing w:after="0"/>
        <w:rPr>
          <w:rFonts w:cs="Arial"/>
          <w:b/>
          <w:u w:val="single"/>
        </w:rPr>
      </w:pPr>
    </w:p>
    <w:p w14:paraId="556EA3D8" w14:textId="56CC9A84" w:rsidR="00510203" w:rsidRDefault="00510203" w:rsidP="00510203">
      <w:pPr>
        <w:spacing w:after="0"/>
        <w:rPr>
          <w:rFonts w:cs="Arial"/>
        </w:rPr>
      </w:pPr>
      <w:r>
        <w:rPr>
          <w:rFonts w:cs="Arial"/>
        </w:rPr>
        <w:t>Chief Executive Services are</w:t>
      </w:r>
      <w:r w:rsidRPr="00CD40A7">
        <w:rPr>
          <w:rFonts w:cs="Arial"/>
        </w:rPr>
        <w:t xml:space="preserve"> forecast to </w:t>
      </w:r>
      <w:r>
        <w:rPr>
          <w:rFonts w:cs="Arial"/>
        </w:rPr>
        <w:t xml:space="preserve">underspend </w:t>
      </w:r>
      <w:r w:rsidRPr="00CD40A7">
        <w:rPr>
          <w:rFonts w:cs="Arial"/>
        </w:rPr>
        <w:t>by £</w:t>
      </w:r>
      <w:r>
        <w:rPr>
          <w:rFonts w:cs="Arial"/>
        </w:rPr>
        <w:t>7.414</w:t>
      </w:r>
      <w:r w:rsidRPr="00CD40A7">
        <w:rPr>
          <w:rFonts w:cs="Arial"/>
        </w:rPr>
        <w:t xml:space="preserve">m. The </w:t>
      </w:r>
      <w:r>
        <w:rPr>
          <w:rFonts w:cs="Arial"/>
        </w:rPr>
        <w:t>unders</w:t>
      </w:r>
      <w:r w:rsidRPr="00CD40A7">
        <w:rPr>
          <w:rFonts w:cs="Arial"/>
        </w:rPr>
        <w:t xml:space="preserve">pend in </w:t>
      </w:r>
      <w:r>
        <w:rPr>
          <w:rFonts w:cs="Arial"/>
        </w:rPr>
        <w:t>November</w:t>
      </w:r>
      <w:r w:rsidRPr="00CD40A7">
        <w:rPr>
          <w:rFonts w:cs="Arial"/>
        </w:rPr>
        <w:t xml:space="preserve"> has </w:t>
      </w:r>
      <w:r>
        <w:rPr>
          <w:rFonts w:cs="Arial"/>
        </w:rPr>
        <w:t>increased by £1.996</w:t>
      </w:r>
      <w:r w:rsidRPr="00CD40A7">
        <w:rPr>
          <w:rFonts w:cs="Arial"/>
        </w:rPr>
        <w:t xml:space="preserve">m compared </w:t>
      </w:r>
      <w:r>
        <w:rPr>
          <w:rFonts w:cs="Arial"/>
        </w:rPr>
        <w:t>to Quarter 2 Cabinet monitoring due to an impro</w:t>
      </w:r>
      <w:r w:rsidR="00942876">
        <w:rPr>
          <w:rFonts w:cs="Arial"/>
        </w:rPr>
        <w:t xml:space="preserve">ved Treasury Management positon reflecting positive investment activity over the quarter. </w:t>
      </w:r>
      <w:r>
        <w:rPr>
          <w:rFonts w:cs="Arial"/>
        </w:rPr>
        <w:t xml:space="preserve"> </w:t>
      </w:r>
    </w:p>
    <w:p w14:paraId="109065CC" w14:textId="77777777" w:rsidR="00510203" w:rsidRDefault="00510203" w:rsidP="00510203">
      <w:pPr>
        <w:spacing w:after="0"/>
        <w:rPr>
          <w:rFonts w:cs="Arial"/>
        </w:rPr>
      </w:pPr>
    </w:p>
    <w:p w14:paraId="0E9DEBCC" w14:textId="4FD32CFF" w:rsidR="00510203" w:rsidRPr="00EB291C" w:rsidRDefault="00891852" w:rsidP="00510203">
      <w:pPr>
        <w:spacing w:after="0"/>
        <w:rPr>
          <w:rFonts w:cs="Arial"/>
        </w:rPr>
      </w:pPr>
      <w:r>
        <w:rPr>
          <w:rFonts w:cs="Arial"/>
        </w:rPr>
        <w:t xml:space="preserve">The most significant area of underspend of £7.145m </w:t>
      </w:r>
      <w:r w:rsidR="00510203">
        <w:rPr>
          <w:rFonts w:cs="Arial"/>
        </w:rPr>
        <w:t>relates to non-service budgets and is a combination of underspends on pension contributions, treasury management, strategic budget and inherited pension liabilities.</w:t>
      </w:r>
    </w:p>
    <w:p w14:paraId="5B6BBCC9" w14:textId="77777777" w:rsidR="00510203" w:rsidRDefault="00510203" w:rsidP="00510203">
      <w:pPr>
        <w:spacing w:after="0"/>
        <w:rPr>
          <w:rFonts w:cs="Arial"/>
          <w:b/>
          <w:u w:val="single"/>
        </w:rPr>
      </w:pPr>
    </w:p>
    <w:p w14:paraId="4F365664" w14:textId="77777777" w:rsidR="00510203" w:rsidRDefault="00510203" w:rsidP="00510203">
      <w:pPr>
        <w:spacing w:after="0"/>
        <w:rPr>
          <w:rFonts w:cs="Arial"/>
        </w:rPr>
      </w:pPr>
    </w:p>
    <w:p w14:paraId="729D1F54" w14:textId="77777777" w:rsidR="00510203" w:rsidRDefault="00510203" w:rsidP="00510203">
      <w:pPr>
        <w:spacing w:after="0"/>
        <w:rPr>
          <w:rFonts w:cs="Arial"/>
        </w:rPr>
      </w:pPr>
    </w:p>
    <w:p w14:paraId="317F4D37" w14:textId="5BB7D04E" w:rsidR="00CA72D1" w:rsidRDefault="00CA72D1">
      <w:pPr>
        <w:autoSpaceDE/>
        <w:autoSpaceDN/>
        <w:adjustRightInd/>
        <w:spacing w:after="0"/>
        <w:jc w:val="left"/>
        <w:rPr>
          <w:b/>
        </w:rPr>
      </w:pPr>
    </w:p>
    <w:sectPr w:rsidR="00CA72D1" w:rsidSect="007446BB">
      <w:pgSz w:w="11906" w:h="16838"/>
      <w:pgMar w:top="567" w:right="1361" w:bottom="567" w:left="156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74B57" w14:textId="77777777" w:rsidR="00E118FC" w:rsidRDefault="00E118FC">
      <w:pPr>
        <w:spacing w:after="0"/>
      </w:pPr>
      <w:r>
        <w:separator/>
      </w:r>
    </w:p>
  </w:endnote>
  <w:endnote w:type="continuationSeparator" w:id="0">
    <w:p w14:paraId="2BD3B40B" w14:textId="77777777" w:rsidR="00E118FC" w:rsidRDefault="00E118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2D6A1" w14:textId="77777777" w:rsidR="00E118FC" w:rsidRDefault="00E118FC">
    <w:pPr>
      <w:pStyle w:val="Foo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57DBD">
      <w:rPr>
        <w:caps/>
        <w:noProof/>
        <w:color w:val="4F81BD" w:themeColor="accent1"/>
      </w:rPr>
      <w:t>12</w:t>
    </w:r>
    <w:r>
      <w:rPr>
        <w:caps/>
        <w:noProof/>
        <w:color w:val="4F81BD" w:themeColor="accent1"/>
      </w:rPr>
      <w:fldChar w:fldCharType="end"/>
    </w:r>
  </w:p>
  <w:p w14:paraId="4520D759" w14:textId="77777777" w:rsidR="00E118FC" w:rsidRDefault="00E11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7E8BC" w14:textId="77777777" w:rsidR="00E118FC" w:rsidRDefault="00E118FC">
      <w:pPr>
        <w:spacing w:after="0"/>
      </w:pPr>
      <w:r>
        <w:separator/>
      </w:r>
    </w:p>
  </w:footnote>
  <w:footnote w:type="continuationSeparator" w:id="0">
    <w:p w14:paraId="03440413" w14:textId="77777777" w:rsidR="00E118FC" w:rsidRDefault="00E118F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E3406" w14:textId="77777777" w:rsidR="00E118FC" w:rsidRDefault="00E118FC">
    <w:pPr>
      <w:pStyle w:val="Header"/>
    </w:pPr>
    <w:r>
      <w:rPr>
        <w:noProof/>
        <w:lang w:eastAsia="en-GB"/>
      </w:rPr>
      <w:drawing>
        <wp:anchor distT="0" distB="0" distL="114300" distR="114300" simplePos="0" relativeHeight="251658240" behindDoc="1" locked="0" layoutInCell="1" allowOverlap="1" wp14:anchorId="1D1D5568" wp14:editId="09624B4E">
          <wp:simplePos x="0" y="0"/>
          <wp:positionH relativeFrom="column">
            <wp:posOffset>-915035</wp:posOffset>
          </wp:positionH>
          <wp:positionV relativeFrom="paragraph">
            <wp:posOffset>-189230</wp:posOffset>
          </wp:positionV>
          <wp:extent cx="7548880" cy="6653530"/>
          <wp:effectExtent l="19050" t="0" r="0" b="0"/>
          <wp:wrapNone/>
          <wp:docPr id="6"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9696F" w14:textId="42987F3F" w:rsidR="00E118FC" w:rsidRDefault="00E118FC" w:rsidP="007446BB">
    <w:pPr>
      <w:pStyle w:val="Header"/>
    </w:pPr>
    <w:r>
      <w:rPr>
        <w:noProof/>
        <w:lang w:eastAsia="en-GB"/>
      </w:rPr>
      <w:drawing>
        <wp:anchor distT="0" distB="0" distL="114300" distR="114300" simplePos="0" relativeHeight="251659264" behindDoc="1" locked="0" layoutInCell="1" allowOverlap="1" wp14:anchorId="50F7C84F" wp14:editId="6F567DD5">
          <wp:simplePos x="0" y="0"/>
          <wp:positionH relativeFrom="page">
            <wp:align>left</wp:align>
          </wp:positionH>
          <wp:positionV relativeFrom="paragraph">
            <wp:posOffset>-488950</wp:posOffset>
          </wp:positionV>
          <wp:extent cx="7568565" cy="10720070"/>
          <wp:effectExtent l="0" t="0" r="0" b="5080"/>
          <wp:wrapNone/>
          <wp:docPr id="7"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tretch>
                    <a:fillRect/>
                  </a:stretch>
                </pic:blipFill>
                <pic:spPr bwMode="auto">
                  <a:xfrm>
                    <a:off x="0" y="0"/>
                    <a:ext cx="7568565" cy="107200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4D214DD"/>
    <w:multiLevelType w:val="multilevel"/>
    <w:tmpl w:val="166EB8FC"/>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FA13CC5"/>
    <w:multiLevelType w:val="hybridMultilevel"/>
    <w:tmpl w:val="06ECE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08F7456"/>
    <w:multiLevelType w:val="multilevel"/>
    <w:tmpl w:val="BBB824B2"/>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4BB0B5C"/>
    <w:multiLevelType w:val="hybridMultilevel"/>
    <w:tmpl w:val="D176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7415135"/>
    <w:multiLevelType w:val="hybridMultilevel"/>
    <w:tmpl w:val="5DD8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BAD7575"/>
    <w:multiLevelType w:val="hybridMultilevel"/>
    <w:tmpl w:val="9B40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4852E75"/>
    <w:multiLevelType w:val="hybridMultilevel"/>
    <w:tmpl w:val="0850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1F6E7F"/>
    <w:multiLevelType w:val="multilevel"/>
    <w:tmpl w:val="8EA0FD5E"/>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2DE378D"/>
    <w:multiLevelType w:val="hybridMultilevel"/>
    <w:tmpl w:val="669255CA"/>
    <w:lvl w:ilvl="0" w:tplc="D1789FFE">
      <w:start w:val="1"/>
      <w:numFmt w:val="bullet"/>
      <w:pStyle w:val="Bullet"/>
      <w:lvlText w:val=""/>
      <w:lvlJc w:val="left"/>
      <w:pPr>
        <w:ind w:left="363" w:hanging="360"/>
      </w:pPr>
      <w:rPr>
        <w:rFonts w:ascii="Symbol" w:hAnsi="Symbol" w:hint="default"/>
      </w:rPr>
    </w:lvl>
    <w:lvl w:ilvl="1" w:tplc="501C98CE">
      <w:start w:val="1"/>
      <w:numFmt w:val="bullet"/>
      <w:pStyle w:val="Bullet-indent"/>
      <w:lvlText w:val="o"/>
      <w:lvlJc w:val="left"/>
      <w:pPr>
        <w:ind w:left="1083" w:hanging="360"/>
      </w:pPr>
      <w:rPr>
        <w:rFonts w:ascii="Courier New" w:hAnsi="Courier New" w:cs="Courier New" w:hint="default"/>
      </w:rPr>
    </w:lvl>
    <w:lvl w:ilvl="2" w:tplc="BDA8781E" w:tentative="1">
      <w:start w:val="1"/>
      <w:numFmt w:val="bullet"/>
      <w:lvlText w:val=""/>
      <w:lvlJc w:val="left"/>
      <w:pPr>
        <w:ind w:left="1803" w:hanging="360"/>
      </w:pPr>
      <w:rPr>
        <w:rFonts w:ascii="Wingdings" w:hAnsi="Wingdings" w:hint="default"/>
      </w:rPr>
    </w:lvl>
    <w:lvl w:ilvl="3" w:tplc="9B7EC7E6" w:tentative="1">
      <w:start w:val="1"/>
      <w:numFmt w:val="bullet"/>
      <w:lvlText w:val=""/>
      <w:lvlJc w:val="left"/>
      <w:pPr>
        <w:ind w:left="2523" w:hanging="360"/>
      </w:pPr>
      <w:rPr>
        <w:rFonts w:ascii="Symbol" w:hAnsi="Symbol" w:hint="default"/>
      </w:rPr>
    </w:lvl>
    <w:lvl w:ilvl="4" w:tplc="73CE0890" w:tentative="1">
      <w:start w:val="1"/>
      <w:numFmt w:val="bullet"/>
      <w:lvlText w:val="o"/>
      <w:lvlJc w:val="left"/>
      <w:pPr>
        <w:ind w:left="3243" w:hanging="360"/>
      </w:pPr>
      <w:rPr>
        <w:rFonts w:ascii="Courier New" w:hAnsi="Courier New" w:cs="Courier New" w:hint="default"/>
      </w:rPr>
    </w:lvl>
    <w:lvl w:ilvl="5" w:tplc="EB8CE1D6" w:tentative="1">
      <w:start w:val="1"/>
      <w:numFmt w:val="bullet"/>
      <w:lvlText w:val=""/>
      <w:lvlJc w:val="left"/>
      <w:pPr>
        <w:ind w:left="3963" w:hanging="360"/>
      </w:pPr>
      <w:rPr>
        <w:rFonts w:ascii="Wingdings" w:hAnsi="Wingdings" w:hint="default"/>
      </w:rPr>
    </w:lvl>
    <w:lvl w:ilvl="6" w:tplc="69E4E868" w:tentative="1">
      <w:start w:val="1"/>
      <w:numFmt w:val="bullet"/>
      <w:lvlText w:val=""/>
      <w:lvlJc w:val="left"/>
      <w:pPr>
        <w:ind w:left="4683" w:hanging="360"/>
      </w:pPr>
      <w:rPr>
        <w:rFonts w:ascii="Symbol" w:hAnsi="Symbol" w:hint="default"/>
      </w:rPr>
    </w:lvl>
    <w:lvl w:ilvl="7" w:tplc="A3AC9032" w:tentative="1">
      <w:start w:val="1"/>
      <w:numFmt w:val="bullet"/>
      <w:lvlText w:val="o"/>
      <w:lvlJc w:val="left"/>
      <w:pPr>
        <w:ind w:left="5403" w:hanging="360"/>
      </w:pPr>
      <w:rPr>
        <w:rFonts w:ascii="Courier New" w:hAnsi="Courier New" w:cs="Courier New" w:hint="default"/>
      </w:rPr>
    </w:lvl>
    <w:lvl w:ilvl="8" w:tplc="6130F6EC" w:tentative="1">
      <w:start w:val="1"/>
      <w:numFmt w:val="bullet"/>
      <w:lvlText w:val=""/>
      <w:lvlJc w:val="left"/>
      <w:pPr>
        <w:ind w:left="6123" w:hanging="360"/>
      </w:pPr>
      <w:rPr>
        <w:rFonts w:ascii="Wingdings" w:hAnsi="Wingdings" w:hint="default"/>
      </w:rPr>
    </w:lvl>
  </w:abstractNum>
  <w:abstractNum w:abstractNumId="29" w15:restartNumberingAfterBreak="0">
    <w:nsid w:val="38D4652A"/>
    <w:multiLevelType w:val="multilevel"/>
    <w:tmpl w:val="8CAC38F2"/>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BF139AF"/>
    <w:multiLevelType w:val="hybridMultilevel"/>
    <w:tmpl w:val="7A0C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CB71E3"/>
    <w:multiLevelType w:val="hybridMultilevel"/>
    <w:tmpl w:val="702E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F34A72"/>
    <w:multiLevelType w:val="hybridMultilevel"/>
    <w:tmpl w:val="7C22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E92AD1"/>
    <w:multiLevelType w:val="hybridMultilevel"/>
    <w:tmpl w:val="7D38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0860A3"/>
    <w:multiLevelType w:val="hybridMultilevel"/>
    <w:tmpl w:val="2DF6A548"/>
    <w:lvl w:ilvl="0" w:tplc="2ADA3AEA">
      <w:start w:val="1"/>
      <w:numFmt w:val="decimal"/>
      <w:pStyle w:val="Heading2-numbered"/>
      <w:lvlText w:val="%1."/>
      <w:lvlJc w:val="left"/>
      <w:pPr>
        <w:ind w:left="360" w:hanging="360"/>
      </w:pPr>
    </w:lvl>
    <w:lvl w:ilvl="1" w:tplc="9D3C6E7E" w:tentative="1">
      <w:start w:val="1"/>
      <w:numFmt w:val="lowerLetter"/>
      <w:lvlText w:val="%2."/>
      <w:lvlJc w:val="left"/>
      <w:pPr>
        <w:ind w:left="1080" w:hanging="360"/>
      </w:pPr>
    </w:lvl>
    <w:lvl w:ilvl="2" w:tplc="430A4A00" w:tentative="1">
      <w:start w:val="1"/>
      <w:numFmt w:val="lowerRoman"/>
      <w:lvlText w:val="%3."/>
      <w:lvlJc w:val="right"/>
      <w:pPr>
        <w:ind w:left="1800" w:hanging="180"/>
      </w:pPr>
    </w:lvl>
    <w:lvl w:ilvl="3" w:tplc="3B823832" w:tentative="1">
      <w:start w:val="1"/>
      <w:numFmt w:val="decimal"/>
      <w:lvlText w:val="%4."/>
      <w:lvlJc w:val="left"/>
      <w:pPr>
        <w:ind w:left="2520" w:hanging="360"/>
      </w:pPr>
    </w:lvl>
    <w:lvl w:ilvl="4" w:tplc="1EB0B814" w:tentative="1">
      <w:start w:val="1"/>
      <w:numFmt w:val="lowerLetter"/>
      <w:lvlText w:val="%5."/>
      <w:lvlJc w:val="left"/>
      <w:pPr>
        <w:ind w:left="3240" w:hanging="360"/>
      </w:pPr>
    </w:lvl>
    <w:lvl w:ilvl="5" w:tplc="7FB00712" w:tentative="1">
      <w:start w:val="1"/>
      <w:numFmt w:val="lowerRoman"/>
      <w:lvlText w:val="%6."/>
      <w:lvlJc w:val="right"/>
      <w:pPr>
        <w:ind w:left="3960" w:hanging="180"/>
      </w:pPr>
    </w:lvl>
    <w:lvl w:ilvl="6" w:tplc="8648F74E" w:tentative="1">
      <w:start w:val="1"/>
      <w:numFmt w:val="decimal"/>
      <w:lvlText w:val="%7."/>
      <w:lvlJc w:val="left"/>
      <w:pPr>
        <w:ind w:left="4680" w:hanging="360"/>
      </w:pPr>
    </w:lvl>
    <w:lvl w:ilvl="7" w:tplc="0A84E860" w:tentative="1">
      <w:start w:val="1"/>
      <w:numFmt w:val="lowerLetter"/>
      <w:lvlText w:val="%8."/>
      <w:lvlJc w:val="left"/>
      <w:pPr>
        <w:ind w:left="5400" w:hanging="360"/>
      </w:pPr>
    </w:lvl>
    <w:lvl w:ilvl="8" w:tplc="653AC622" w:tentative="1">
      <w:start w:val="1"/>
      <w:numFmt w:val="lowerRoman"/>
      <w:lvlText w:val="%9."/>
      <w:lvlJc w:val="right"/>
      <w:pPr>
        <w:ind w:left="6120" w:hanging="180"/>
      </w:pPr>
    </w:lvl>
  </w:abstractNum>
  <w:abstractNum w:abstractNumId="35" w15:restartNumberingAfterBreak="0">
    <w:nsid w:val="591E2B67"/>
    <w:multiLevelType w:val="hybridMultilevel"/>
    <w:tmpl w:val="95C6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F759CD"/>
    <w:multiLevelType w:val="hybridMultilevel"/>
    <w:tmpl w:val="6FF22088"/>
    <w:lvl w:ilvl="0" w:tplc="FEE6899A">
      <w:start w:val="1"/>
      <w:numFmt w:val="decimal"/>
      <w:pStyle w:val="Heading4"/>
      <w:lvlText w:val="%1."/>
      <w:lvlJc w:val="left"/>
      <w:pPr>
        <w:ind w:left="360" w:hanging="360"/>
      </w:pPr>
    </w:lvl>
    <w:lvl w:ilvl="1" w:tplc="687E1570" w:tentative="1">
      <w:start w:val="1"/>
      <w:numFmt w:val="lowerLetter"/>
      <w:lvlText w:val="%2."/>
      <w:lvlJc w:val="left"/>
      <w:pPr>
        <w:ind w:left="1080" w:hanging="360"/>
      </w:pPr>
    </w:lvl>
    <w:lvl w:ilvl="2" w:tplc="C5304328" w:tentative="1">
      <w:start w:val="1"/>
      <w:numFmt w:val="lowerRoman"/>
      <w:lvlText w:val="%3."/>
      <w:lvlJc w:val="right"/>
      <w:pPr>
        <w:ind w:left="1800" w:hanging="180"/>
      </w:pPr>
    </w:lvl>
    <w:lvl w:ilvl="3" w:tplc="A612A2F2" w:tentative="1">
      <w:start w:val="1"/>
      <w:numFmt w:val="decimal"/>
      <w:lvlText w:val="%4."/>
      <w:lvlJc w:val="left"/>
      <w:pPr>
        <w:ind w:left="2520" w:hanging="360"/>
      </w:pPr>
    </w:lvl>
    <w:lvl w:ilvl="4" w:tplc="99B2AD40" w:tentative="1">
      <w:start w:val="1"/>
      <w:numFmt w:val="lowerLetter"/>
      <w:lvlText w:val="%5."/>
      <w:lvlJc w:val="left"/>
      <w:pPr>
        <w:ind w:left="3240" w:hanging="360"/>
      </w:pPr>
    </w:lvl>
    <w:lvl w:ilvl="5" w:tplc="19FE92CC" w:tentative="1">
      <w:start w:val="1"/>
      <w:numFmt w:val="lowerRoman"/>
      <w:lvlText w:val="%6."/>
      <w:lvlJc w:val="right"/>
      <w:pPr>
        <w:ind w:left="3960" w:hanging="180"/>
      </w:pPr>
    </w:lvl>
    <w:lvl w:ilvl="6" w:tplc="2CFE8DEE" w:tentative="1">
      <w:start w:val="1"/>
      <w:numFmt w:val="decimal"/>
      <w:lvlText w:val="%7."/>
      <w:lvlJc w:val="left"/>
      <w:pPr>
        <w:ind w:left="4680" w:hanging="360"/>
      </w:pPr>
    </w:lvl>
    <w:lvl w:ilvl="7" w:tplc="4768D888" w:tentative="1">
      <w:start w:val="1"/>
      <w:numFmt w:val="lowerLetter"/>
      <w:lvlText w:val="%8."/>
      <w:lvlJc w:val="left"/>
      <w:pPr>
        <w:ind w:left="5400" w:hanging="360"/>
      </w:pPr>
    </w:lvl>
    <w:lvl w:ilvl="8" w:tplc="823C9D54" w:tentative="1">
      <w:start w:val="1"/>
      <w:numFmt w:val="lowerRoman"/>
      <w:lvlText w:val="%9."/>
      <w:lvlJc w:val="right"/>
      <w:pPr>
        <w:ind w:left="6120" w:hanging="180"/>
      </w:pPr>
    </w:lvl>
  </w:abstractNum>
  <w:abstractNum w:abstractNumId="37" w15:restartNumberingAfterBreak="0">
    <w:nsid w:val="6C62469F"/>
    <w:multiLevelType w:val="hybridMultilevel"/>
    <w:tmpl w:val="0E50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2C6B77"/>
    <w:multiLevelType w:val="hybridMultilevel"/>
    <w:tmpl w:val="808278F0"/>
    <w:lvl w:ilvl="0" w:tplc="F7367E3E">
      <w:start w:val="1"/>
      <w:numFmt w:val="decimal"/>
      <w:pStyle w:val="Heading3-numbered"/>
      <w:lvlText w:val="%1."/>
      <w:lvlJc w:val="left"/>
      <w:pPr>
        <w:ind w:left="360" w:hanging="360"/>
      </w:pPr>
      <w:rPr>
        <w:b/>
        <w:i w:val="0"/>
        <w:color w:val="auto"/>
        <w:sz w:val="28"/>
        <w:szCs w:val="28"/>
      </w:rPr>
    </w:lvl>
    <w:lvl w:ilvl="1" w:tplc="9C8E5C26" w:tentative="1">
      <w:start w:val="1"/>
      <w:numFmt w:val="lowerLetter"/>
      <w:lvlText w:val="%2."/>
      <w:lvlJc w:val="left"/>
      <w:pPr>
        <w:ind w:left="1080" w:hanging="360"/>
      </w:pPr>
    </w:lvl>
    <w:lvl w:ilvl="2" w:tplc="B4325ADA" w:tentative="1">
      <w:start w:val="1"/>
      <w:numFmt w:val="lowerRoman"/>
      <w:lvlText w:val="%3."/>
      <w:lvlJc w:val="right"/>
      <w:pPr>
        <w:ind w:left="1800" w:hanging="180"/>
      </w:pPr>
    </w:lvl>
    <w:lvl w:ilvl="3" w:tplc="DDE8C210" w:tentative="1">
      <w:start w:val="1"/>
      <w:numFmt w:val="decimal"/>
      <w:lvlText w:val="%4."/>
      <w:lvlJc w:val="left"/>
      <w:pPr>
        <w:ind w:left="2520" w:hanging="360"/>
      </w:pPr>
    </w:lvl>
    <w:lvl w:ilvl="4" w:tplc="633A29C0" w:tentative="1">
      <w:start w:val="1"/>
      <w:numFmt w:val="lowerLetter"/>
      <w:lvlText w:val="%5."/>
      <w:lvlJc w:val="left"/>
      <w:pPr>
        <w:ind w:left="3240" w:hanging="360"/>
      </w:pPr>
    </w:lvl>
    <w:lvl w:ilvl="5" w:tplc="04601940" w:tentative="1">
      <w:start w:val="1"/>
      <w:numFmt w:val="lowerRoman"/>
      <w:lvlText w:val="%6."/>
      <w:lvlJc w:val="right"/>
      <w:pPr>
        <w:ind w:left="3960" w:hanging="180"/>
      </w:pPr>
    </w:lvl>
    <w:lvl w:ilvl="6" w:tplc="2DFED8B8" w:tentative="1">
      <w:start w:val="1"/>
      <w:numFmt w:val="decimal"/>
      <w:lvlText w:val="%7."/>
      <w:lvlJc w:val="left"/>
      <w:pPr>
        <w:ind w:left="4680" w:hanging="360"/>
      </w:pPr>
    </w:lvl>
    <w:lvl w:ilvl="7" w:tplc="CD06E594" w:tentative="1">
      <w:start w:val="1"/>
      <w:numFmt w:val="lowerLetter"/>
      <w:lvlText w:val="%8."/>
      <w:lvlJc w:val="left"/>
      <w:pPr>
        <w:ind w:left="5400" w:hanging="360"/>
      </w:pPr>
    </w:lvl>
    <w:lvl w:ilvl="8" w:tplc="E36061D2" w:tentative="1">
      <w:start w:val="1"/>
      <w:numFmt w:val="lowerRoman"/>
      <w:lvlText w:val="%9."/>
      <w:lvlJc w:val="right"/>
      <w:pPr>
        <w:ind w:left="6120" w:hanging="180"/>
      </w:pPr>
    </w:lvl>
  </w:abstractNum>
  <w:abstractNum w:abstractNumId="39" w15:restartNumberingAfterBreak="0">
    <w:nsid w:val="73CF252C"/>
    <w:multiLevelType w:val="hybridMultilevel"/>
    <w:tmpl w:val="6B7A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062158"/>
    <w:multiLevelType w:val="multilevel"/>
    <w:tmpl w:val="D92E6328"/>
    <w:lvl w:ilvl="0">
      <w:start w:val="3"/>
      <w:numFmt w:val="decimal"/>
      <w:lvlText w:val="%1"/>
      <w:lvlJc w:val="left"/>
      <w:pPr>
        <w:ind w:left="525" w:hanging="525"/>
      </w:pPr>
      <w:rPr>
        <w:rFonts w:hint="default"/>
      </w:rPr>
    </w:lvl>
    <w:lvl w:ilvl="1">
      <w:start w:val="2"/>
      <w:numFmt w:val="decimal"/>
      <w:lvlText w:val="%1.3"/>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6345A2"/>
    <w:multiLevelType w:val="multilevel"/>
    <w:tmpl w:val="CAAA6282"/>
    <w:lvl w:ilvl="0">
      <w:start w:val="3"/>
      <w:numFmt w:val="decimal"/>
      <w:lvlText w:val="%1"/>
      <w:lvlJc w:val="left"/>
      <w:pPr>
        <w:ind w:left="525" w:hanging="525"/>
      </w:pPr>
      <w:rPr>
        <w:rFonts w:cs="Helvetica-Light" w:hint="default"/>
        <w:b/>
      </w:rPr>
    </w:lvl>
    <w:lvl w:ilvl="1">
      <w:start w:val="5"/>
      <w:numFmt w:val="decimal"/>
      <w:lvlText w:val="%1.%2"/>
      <w:lvlJc w:val="left"/>
      <w:pPr>
        <w:ind w:left="525" w:hanging="525"/>
      </w:pPr>
      <w:rPr>
        <w:rFonts w:cs="Helvetica-Light" w:hint="default"/>
        <w:b/>
      </w:rPr>
    </w:lvl>
    <w:lvl w:ilvl="2">
      <w:start w:val="7"/>
      <w:numFmt w:val="decimal"/>
      <w:lvlText w:val="%1.%2.%3"/>
      <w:lvlJc w:val="left"/>
      <w:pPr>
        <w:ind w:left="720" w:hanging="720"/>
      </w:pPr>
      <w:rPr>
        <w:rFonts w:cs="Helvetica-Light" w:hint="default"/>
        <w:b/>
      </w:rPr>
    </w:lvl>
    <w:lvl w:ilvl="3">
      <w:start w:val="1"/>
      <w:numFmt w:val="decimal"/>
      <w:lvlText w:val="%1.%2.%3.%4"/>
      <w:lvlJc w:val="left"/>
      <w:pPr>
        <w:ind w:left="1080" w:hanging="1080"/>
      </w:pPr>
      <w:rPr>
        <w:rFonts w:cs="Helvetica-Light" w:hint="default"/>
        <w:b/>
      </w:rPr>
    </w:lvl>
    <w:lvl w:ilvl="4">
      <w:start w:val="1"/>
      <w:numFmt w:val="decimal"/>
      <w:lvlText w:val="%1.%2.%3.%4.%5"/>
      <w:lvlJc w:val="left"/>
      <w:pPr>
        <w:ind w:left="1080" w:hanging="1080"/>
      </w:pPr>
      <w:rPr>
        <w:rFonts w:cs="Helvetica-Light" w:hint="default"/>
        <w:b/>
      </w:rPr>
    </w:lvl>
    <w:lvl w:ilvl="5">
      <w:start w:val="1"/>
      <w:numFmt w:val="decimal"/>
      <w:lvlText w:val="%1.%2.%3.%4.%5.%6"/>
      <w:lvlJc w:val="left"/>
      <w:pPr>
        <w:ind w:left="1440" w:hanging="1440"/>
      </w:pPr>
      <w:rPr>
        <w:rFonts w:cs="Helvetica-Light" w:hint="default"/>
        <w:b/>
      </w:rPr>
    </w:lvl>
    <w:lvl w:ilvl="6">
      <w:start w:val="1"/>
      <w:numFmt w:val="decimal"/>
      <w:lvlText w:val="%1.%2.%3.%4.%5.%6.%7"/>
      <w:lvlJc w:val="left"/>
      <w:pPr>
        <w:ind w:left="1440" w:hanging="1440"/>
      </w:pPr>
      <w:rPr>
        <w:rFonts w:cs="Helvetica-Light" w:hint="default"/>
        <w:b/>
      </w:rPr>
    </w:lvl>
    <w:lvl w:ilvl="7">
      <w:start w:val="1"/>
      <w:numFmt w:val="decimal"/>
      <w:lvlText w:val="%1.%2.%3.%4.%5.%6.%7.%8"/>
      <w:lvlJc w:val="left"/>
      <w:pPr>
        <w:ind w:left="1800" w:hanging="1800"/>
      </w:pPr>
      <w:rPr>
        <w:rFonts w:cs="Helvetica-Light" w:hint="default"/>
        <w:b/>
      </w:rPr>
    </w:lvl>
    <w:lvl w:ilvl="8">
      <w:start w:val="1"/>
      <w:numFmt w:val="decimal"/>
      <w:lvlText w:val="%1.%2.%3.%4.%5.%6.%7.%8.%9"/>
      <w:lvlJc w:val="left"/>
      <w:pPr>
        <w:ind w:left="1800" w:hanging="1800"/>
      </w:pPr>
      <w:rPr>
        <w:rFonts w:cs="Helvetica-Light" w:hint="default"/>
        <w:b/>
      </w:rPr>
    </w:lvl>
  </w:abstractNum>
  <w:num w:numId="1">
    <w:abstractNumId w:val="28"/>
  </w:num>
  <w:num w:numId="2">
    <w:abstractNumId w:val="34"/>
  </w:num>
  <w:num w:numId="3">
    <w:abstractNumId w:val="38"/>
  </w:num>
  <w:num w:numId="4">
    <w:abstractNumId w:val="36"/>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1"/>
  </w:num>
  <w:num w:numId="26">
    <w:abstractNumId w:val="20"/>
  </w:num>
  <w:num w:numId="27">
    <w:abstractNumId w:val="40"/>
  </w:num>
  <w:num w:numId="28">
    <w:abstractNumId w:val="29"/>
  </w:num>
  <w:num w:numId="29">
    <w:abstractNumId w:val="22"/>
  </w:num>
  <w:num w:numId="30">
    <w:abstractNumId w:val="27"/>
  </w:num>
  <w:num w:numId="31">
    <w:abstractNumId w:val="33"/>
  </w:num>
  <w:num w:numId="32">
    <w:abstractNumId w:val="25"/>
  </w:num>
  <w:num w:numId="33">
    <w:abstractNumId w:val="26"/>
  </w:num>
  <w:num w:numId="34">
    <w:abstractNumId w:val="24"/>
  </w:num>
  <w:num w:numId="35">
    <w:abstractNumId w:val="21"/>
  </w:num>
  <w:num w:numId="36">
    <w:abstractNumId w:val="37"/>
  </w:num>
  <w:num w:numId="37">
    <w:abstractNumId w:val="39"/>
  </w:num>
  <w:num w:numId="38">
    <w:abstractNumId w:val="23"/>
  </w:num>
  <w:num w:numId="39">
    <w:abstractNumId w:val="35"/>
  </w:num>
  <w:num w:numId="40">
    <w:abstractNumId w:val="31"/>
  </w:num>
  <w:num w:numId="41">
    <w:abstractNumId w:val="30"/>
  </w:num>
  <w:num w:numId="42">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FD"/>
    <w:rsid w:val="0000560A"/>
    <w:rsid w:val="00013882"/>
    <w:rsid w:val="000375D5"/>
    <w:rsid w:val="00044998"/>
    <w:rsid w:val="000535B4"/>
    <w:rsid w:val="00053D50"/>
    <w:rsid w:val="00076AE8"/>
    <w:rsid w:val="00081468"/>
    <w:rsid w:val="00084101"/>
    <w:rsid w:val="00087671"/>
    <w:rsid w:val="00087A86"/>
    <w:rsid w:val="00096D1F"/>
    <w:rsid w:val="000A2871"/>
    <w:rsid w:val="000A51BC"/>
    <w:rsid w:val="000A5BCB"/>
    <w:rsid w:val="000B50CA"/>
    <w:rsid w:val="000B6359"/>
    <w:rsid w:val="000B6FC0"/>
    <w:rsid w:val="000D3636"/>
    <w:rsid w:val="000D589B"/>
    <w:rsid w:val="000F3AAB"/>
    <w:rsid w:val="00120E35"/>
    <w:rsid w:val="00134621"/>
    <w:rsid w:val="001347D8"/>
    <w:rsid w:val="00134DB0"/>
    <w:rsid w:val="001414DF"/>
    <w:rsid w:val="001439CF"/>
    <w:rsid w:val="0014653E"/>
    <w:rsid w:val="001671E4"/>
    <w:rsid w:val="00171CF9"/>
    <w:rsid w:val="00191AB9"/>
    <w:rsid w:val="001A57A6"/>
    <w:rsid w:val="001B4168"/>
    <w:rsid w:val="001B48CE"/>
    <w:rsid w:val="001B51AB"/>
    <w:rsid w:val="001B5230"/>
    <w:rsid w:val="001D13F1"/>
    <w:rsid w:val="001E017F"/>
    <w:rsid w:val="001E02D0"/>
    <w:rsid w:val="00200F0F"/>
    <w:rsid w:val="00203549"/>
    <w:rsid w:val="00203D54"/>
    <w:rsid w:val="002058DF"/>
    <w:rsid w:val="00212D25"/>
    <w:rsid w:val="00221468"/>
    <w:rsid w:val="00231EB0"/>
    <w:rsid w:val="00241869"/>
    <w:rsid w:val="00251ECB"/>
    <w:rsid w:val="00255003"/>
    <w:rsid w:val="00257128"/>
    <w:rsid w:val="00270635"/>
    <w:rsid w:val="00270BC1"/>
    <w:rsid w:val="002868A9"/>
    <w:rsid w:val="00287914"/>
    <w:rsid w:val="0028795D"/>
    <w:rsid w:val="002958A2"/>
    <w:rsid w:val="002D547B"/>
    <w:rsid w:val="002D6C9C"/>
    <w:rsid w:val="002E6415"/>
    <w:rsid w:val="002E6DA2"/>
    <w:rsid w:val="002F27FD"/>
    <w:rsid w:val="00302294"/>
    <w:rsid w:val="00316521"/>
    <w:rsid w:val="0032450E"/>
    <w:rsid w:val="00332406"/>
    <w:rsid w:val="00332881"/>
    <w:rsid w:val="00347315"/>
    <w:rsid w:val="00363D08"/>
    <w:rsid w:val="00366E1D"/>
    <w:rsid w:val="00372945"/>
    <w:rsid w:val="00383CDE"/>
    <w:rsid w:val="00386D3B"/>
    <w:rsid w:val="003938D8"/>
    <w:rsid w:val="003A0F3E"/>
    <w:rsid w:val="003A7ACF"/>
    <w:rsid w:val="003B5B25"/>
    <w:rsid w:val="003E6B51"/>
    <w:rsid w:val="00406EFB"/>
    <w:rsid w:val="0041499B"/>
    <w:rsid w:val="00422CFD"/>
    <w:rsid w:val="00427EDE"/>
    <w:rsid w:val="004332D6"/>
    <w:rsid w:val="0043483A"/>
    <w:rsid w:val="00434E44"/>
    <w:rsid w:val="004378F3"/>
    <w:rsid w:val="0045420D"/>
    <w:rsid w:val="00455712"/>
    <w:rsid w:val="00457E71"/>
    <w:rsid w:val="004614D6"/>
    <w:rsid w:val="00462467"/>
    <w:rsid w:val="00466447"/>
    <w:rsid w:val="0048421C"/>
    <w:rsid w:val="00493390"/>
    <w:rsid w:val="004A149E"/>
    <w:rsid w:val="004A2547"/>
    <w:rsid w:val="004A3ACC"/>
    <w:rsid w:val="004A58B1"/>
    <w:rsid w:val="004A70F0"/>
    <w:rsid w:val="004B74E5"/>
    <w:rsid w:val="004D38E5"/>
    <w:rsid w:val="004E058B"/>
    <w:rsid w:val="004E06FD"/>
    <w:rsid w:val="004F07B1"/>
    <w:rsid w:val="004F4FA7"/>
    <w:rsid w:val="00501F16"/>
    <w:rsid w:val="00504DDE"/>
    <w:rsid w:val="005063BF"/>
    <w:rsid w:val="005066D1"/>
    <w:rsid w:val="00510203"/>
    <w:rsid w:val="00522DC6"/>
    <w:rsid w:val="00537B83"/>
    <w:rsid w:val="00546DD2"/>
    <w:rsid w:val="0056213B"/>
    <w:rsid w:val="00564A0D"/>
    <w:rsid w:val="00570F5C"/>
    <w:rsid w:val="00592D24"/>
    <w:rsid w:val="00593C42"/>
    <w:rsid w:val="005C63E5"/>
    <w:rsid w:val="005D0BE2"/>
    <w:rsid w:val="005D1440"/>
    <w:rsid w:val="005D6BAC"/>
    <w:rsid w:val="005E69E8"/>
    <w:rsid w:val="005F05DD"/>
    <w:rsid w:val="005F19AD"/>
    <w:rsid w:val="005F69F6"/>
    <w:rsid w:val="00645A62"/>
    <w:rsid w:val="0065227E"/>
    <w:rsid w:val="006622A6"/>
    <w:rsid w:val="00664924"/>
    <w:rsid w:val="006673D6"/>
    <w:rsid w:val="00671733"/>
    <w:rsid w:val="00673260"/>
    <w:rsid w:val="006759B1"/>
    <w:rsid w:val="006820B1"/>
    <w:rsid w:val="00685309"/>
    <w:rsid w:val="0068787A"/>
    <w:rsid w:val="006A1684"/>
    <w:rsid w:val="006A28E4"/>
    <w:rsid w:val="006B29B1"/>
    <w:rsid w:val="006B6B02"/>
    <w:rsid w:val="006C59D4"/>
    <w:rsid w:val="006C59E5"/>
    <w:rsid w:val="006C6F70"/>
    <w:rsid w:val="006D1CAD"/>
    <w:rsid w:val="006D43E4"/>
    <w:rsid w:val="006E1C1F"/>
    <w:rsid w:val="006E759A"/>
    <w:rsid w:val="007056A3"/>
    <w:rsid w:val="00705D5C"/>
    <w:rsid w:val="00727BC9"/>
    <w:rsid w:val="00736C5F"/>
    <w:rsid w:val="007446BB"/>
    <w:rsid w:val="00747190"/>
    <w:rsid w:val="007475D3"/>
    <w:rsid w:val="00755F43"/>
    <w:rsid w:val="007736CE"/>
    <w:rsid w:val="00776777"/>
    <w:rsid w:val="00781A8B"/>
    <w:rsid w:val="00782650"/>
    <w:rsid w:val="00784DEF"/>
    <w:rsid w:val="007A67A6"/>
    <w:rsid w:val="007C37A7"/>
    <w:rsid w:val="007C3EFB"/>
    <w:rsid w:val="007E14B4"/>
    <w:rsid w:val="007E1608"/>
    <w:rsid w:val="007E305C"/>
    <w:rsid w:val="007F0405"/>
    <w:rsid w:val="0080200B"/>
    <w:rsid w:val="00807366"/>
    <w:rsid w:val="008124D6"/>
    <w:rsid w:val="008344D2"/>
    <w:rsid w:val="00837763"/>
    <w:rsid w:val="0087764F"/>
    <w:rsid w:val="00891852"/>
    <w:rsid w:val="00891B8A"/>
    <w:rsid w:val="008922A6"/>
    <w:rsid w:val="008A13AC"/>
    <w:rsid w:val="008B2501"/>
    <w:rsid w:val="008B3A99"/>
    <w:rsid w:val="008B69BB"/>
    <w:rsid w:val="008C1AE0"/>
    <w:rsid w:val="008C6501"/>
    <w:rsid w:val="008C6E17"/>
    <w:rsid w:val="008C7CC9"/>
    <w:rsid w:val="0091167A"/>
    <w:rsid w:val="00913962"/>
    <w:rsid w:val="00926684"/>
    <w:rsid w:val="00932941"/>
    <w:rsid w:val="00936579"/>
    <w:rsid w:val="00942876"/>
    <w:rsid w:val="00945743"/>
    <w:rsid w:val="00965A4B"/>
    <w:rsid w:val="00991F21"/>
    <w:rsid w:val="009B54CC"/>
    <w:rsid w:val="009C0585"/>
    <w:rsid w:val="009D6C22"/>
    <w:rsid w:val="009E304F"/>
    <w:rsid w:val="00A3139E"/>
    <w:rsid w:val="00A57DBD"/>
    <w:rsid w:val="00A615F2"/>
    <w:rsid w:val="00A651BD"/>
    <w:rsid w:val="00A77E47"/>
    <w:rsid w:val="00A83445"/>
    <w:rsid w:val="00A8357F"/>
    <w:rsid w:val="00A97B3F"/>
    <w:rsid w:val="00AB5B2E"/>
    <w:rsid w:val="00AD3C72"/>
    <w:rsid w:val="00AE59E0"/>
    <w:rsid w:val="00AF393F"/>
    <w:rsid w:val="00B148ED"/>
    <w:rsid w:val="00B37069"/>
    <w:rsid w:val="00B459B3"/>
    <w:rsid w:val="00B51488"/>
    <w:rsid w:val="00B53FAF"/>
    <w:rsid w:val="00B64738"/>
    <w:rsid w:val="00B75771"/>
    <w:rsid w:val="00B81FD0"/>
    <w:rsid w:val="00BA0D59"/>
    <w:rsid w:val="00BA1502"/>
    <w:rsid w:val="00BA5555"/>
    <w:rsid w:val="00BA6C28"/>
    <w:rsid w:val="00BB359F"/>
    <w:rsid w:val="00BB7F41"/>
    <w:rsid w:val="00BD5B46"/>
    <w:rsid w:val="00BE09C9"/>
    <w:rsid w:val="00BE59F3"/>
    <w:rsid w:val="00BE6CF4"/>
    <w:rsid w:val="00C00074"/>
    <w:rsid w:val="00C25E73"/>
    <w:rsid w:val="00C42BDA"/>
    <w:rsid w:val="00C819D1"/>
    <w:rsid w:val="00C82E7F"/>
    <w:rsid w:val="00CA0E21"/>
    <w:rsid w:val="00CA72D1"/>
    <w:rsid w:val="00CB5FFA"/>
    <w:rsid w:val="00CD5B06"/>
    <w:rsid w:val="00CE76EA"/>
    <w:rsid w:val="00CF78BC"/>
    <w:rsid w:val="00D02AB0"/>
    <w:rsid w:val="00D22AD0"/>
    <w:rsid w:val="00D3408E"/>
    <w:rsid w:val="00D40856"/>
    <w:rsid w:val="00D5333D"/>
    <w:rsid w:val="00D639BD"/>
    <w:rsid w:val="00D93B81"/>
    <w:rsid w:val="00DA2793"/>
    <w:rsid w:val="00DB0D47"/>
    <w:rsid w:val="00DB3568"/>
    <w:rsid w:val="00DB3790"/>
    <w:rsid w:val="00DC662F"/>
    <w:rsid w:val="00E118FC"/>
    <w:rsid w:val="00E1385F"/>
    <w:rsid w:val="00E13980"/>
    <w:rsid w:val="00E16D30"/>
    <w:rsid w:val="00E21DE6"/>
    <w:rsid w:val="00E26C03"/>
    <w:rsid w:val="00E3472A"/>
    <w:rsid w:val="00E62E68"/>
    <w:rsid w:val="00E6400D"/>
    <w:rsid w:val="00E70175"/>
    <w:rsid w:val="00E715E2"/>
    <w:rsid w:val="00E81787"/>
    <w:rsid w:val="00E86987"/>
    <w:rsid w:val="00E926B8"/>
    <w:rsid w:val="00E94C09"/>
    <w:rsid w:val="00E962FE"/>
    <w:rsid w:val="00E968D4"/>
    <w:rsid w:val="00EB16EA"/>
    <w:rsid w:val="00EC13B4"/>
    <w:rsid w:val="00EC19FF"/>
    <w:rsid w:val="00ED03EE"/>
    <w:rsid w:val="00ED03FB"/>
    <w:rsid w:val="00EE013B"/>
    <w:rsid w:val="00EF580B"/>
    <w:rsid w:val="00F0072F"/>
    <w:rsid w:val="00F36824"/>
    <w:rsid w:val="00F43840"/>
    <w:rsid w:val="00F51DA4"/>
    <w:rsid w:val="00F54035"/>
    <w:rsid w:val="00F63D1D"/>
    <w:rsid w:val="00F705D3"/>
    <w:rsid w:val="00F9124E"/>
    <w:rsid w:val="00F92F98"/>
    <w:rsid w:val="00F94710"/>
    <w:rsid w:val="00FC4954"/>
    <w:rsid w:val="00FC6AA1"/>
    <w:rsid w:val="00FD0150"/>
    <w:rsid w:val="00FD0815"/>
    <w:rsid w:val="00FD40BB"/>
    <w:rsid w:val="00FE72E3"/>
    <w:rsid w:val="00FF0E4E"/>
    <w:rsid w:val="00FF6EE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D4AA7"/>
  <w15:docId w15:val="{E34E63CD-78C9-4E37-9146-B02C789E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DE4B16"/>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FB"/>
    <w:rPr>
      <w:rFonts w:eastAsia="Times New Roman" w:cs="Helvetica-Light"/>
      <w:b/>
      <w:bCs/>
      <w:sz w:val="40"/>
      <w:szCs w:val="28"/>
    </w:rPr>
  </w:style>
  <w:style w:type="character" w:customStyle="1" w:styleId="Heading2Char">
    <w:name w:val="Heading 2 Char"/>
    <w:basedOn w:val="DefaultParagraphFont"/>
    <w:link w:val="Heading2"/>
    <w:uiPriority w:val="9"/>
    <w:rsid w:val="002345FB"/>
    <w:rPr>
      <w:rFonts w:eastAsia="Times New Roman" w:cs="Helvetica-Light"/>
      <w:b/>
      <w:bCs/>
      <w:color w:val="000000"/>
      <w:sz w:val="32"/>
      <w:szCs w:val="26"/>
    </w:rPr>
  </w:style>
  <w:style w:type="character" w:customStyle="1" w:styleId="Heading3Char">
    <w:name w:val="Heading 3 Char"/>
    <w:basedOn w:val="DefaultParagraphFont"/>
    <w:link w:val="Heading3"/>
    <w:uiPriority w:val="9"/>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2"/>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2"/>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0736">
      <w:bodyDiv w:val="1"/>
      <w:marLeft w:val="0"/>
      <w:marRight w:val="0"/>
      <w:marTop w:val="0"/>
      <w:marBottom w:val="0"/>
      <w:divBdr>
        <w:top w:val="none" w:sz="0" w:space="0" w:color="auto"/>
        <w:left w:val="none" w:sz="0" w:space="0" w:color="auto"/>
        <w:bottom w:val="none" w:sz="0" w:space="0" w:color="auto"/>
        <w:right w:val="none" w:sz="0" w:space="0" w:color="auto"/>
      </w:divBdr>
    </w:div>
    <w:div w:id="89006342">
      <w:bodyDiv w:val="1"/>
      <w:marLeft w:val="0"/>
      <w:marRight w:val="0"/>
      <w:marTop w:val="0"/>
      <w:marBottom w:val="0"/>
      <w:divBdr>
        <w:top w:val="none" w:sz="0" w:space="0" w:color="auto"/>
        <w:left w:val="none" w:sz="0" w:space="0" w:color="auto"/>
        <w:bottom w:val="none" w:sz="0" w:space="0" w:color="auto"/>
        <w:right w:val="none" w:sz="0" w:space="0" w:color="auto"/>
      </w:divBdr>
    </w:div>
    <w:div w:id="158859339">
      <w:bodyDiv w:val="1"/>
      <w:marLeft w:val="0"/>
      <w:marRight w:val="0"/>
      <w:marTop w:val="0"/>
      <w:marBottom w:val="0"/>
      <w:divBdr>
        <w:top w:val="none" w:sz="0" w:space="0" w:color="auto"/>
        <w:left w:val="none" w:sz="0" w:space="0" w:color="auto"/>
        <w:bottom w:val="none" w:sz="0" w:space="0" w:color="auto"/>
        <w:right w:val="none" w:sz="0" w:space="0" w:color="auto"/>
      </w:divBdr>
    </w:div>
    <w:div w:id="190924566">
      <w:bodyDiv w:val="1"/>
      <w:marLeft w:val="0"/>
      <w:marRight w:val="0"/>
      <w:marTop w:val="0"/>
      <w:marBottom w:val="0"/>
      <w:divBdr>
        <w:top w:val="none" w:sz="0" w:space="0" w:color="auto"/>
        <w:left w:val="none" w:sz="0" w:space="0" w:color="auto"/>
        <w:bottom w:val="none" w:sz="0" w:space="0" w:color="auto"/>
        <w:right w:val="none" w:sz="0" w:space="0" w:color="auto"/>
      </w:divBdr>
    </w:div>
    <w:div w:id="212011304">
      <w:bodyDiv w:val="1"/>
      <w:marLeft w:val="0"/>
      <w:marRight w:val="0"/>
      <w:marTop w:val="0"/>
      <w:marBottom w:val="0"/>
      <w:divBdr>
        <w:top w:val="none" w:sz="0" w:space="0" w:color="auto"/>
        <w:left w:val="none" w:sz="0" w:space="0" w:color="auto"/>
        <w:bottom w:val="none" w:sz="0" w:space="0" w:color="auto"/>
        <w:right w:val="none" w:sz="0" w:space="0" w:color="auto"/>
      </w:divBdr>
    </w:div>
    <w:div w:id="212082778">
      <w:bodyDiv w:val="1"/>
      <w:marLeft w:val="0"/>
      <w:marRight w:val="0"/>
      <w:marTop w:val="0"/>
      <w:marBottom w:val="0"/>
      <w:divBdr>
        <w:top w:val="none" w:sz="0" w:space="0" w:color="auto"/>
        <w:left w:val="none" w:sz="0" w:space="0" w:color="auto"/>
        <w:bottom w:val="none" w:sz="0" w:space="0" w:color="auto"/>
        <w:right w:val="none" w:sz="0" w:space="0" w:color="auto"/>
      </w:divBdr>
    </w:div>
    <w:div w:id="214051220">
      <w:bodyDiv w:val="1"/>
      <w:marLeft w:val="0"/>
      <w:marRight w:val="0"/>
      <w:marTop w:val="0"/>
      <w:marBottom w:val="0"/>
      <w:divBdr>
        <w:top w:val="none" w:sz="0" w:space="0" w:color="auto"/>
        <w:left w:val="none" w:sz="0" w:space="0" w:color="auto"/>
        <w:bottom w:val="none" w:sz="0" w:space="0" w:color="auto"/>
        <w:right w:val="none" w:sz="0" w:space="0" w:color="auto"/>
      </w:divBdr>
    </w:div>
    <w:div w:id="215824306">
      <w:bodyDiv w:val="1"/>
      <w:marLeft w:val="0"/>
      <w:marRight w:val="0"/>
      <w:marTop w:val="0"/>
      <w:marBottom w:val="0"/>
      <w:divBdr>
        <w:top w:val="none" w:sz="0" w:space="0" w:color="auto"/>
        <w:left w:val="none" w:sz="0" w:space="0" w:color="auto"/>
        <w:bottom w:val="none" w:sz="0" w:space="0" w:color="auto"/>
        <w:right w:val="none" w:sz="0" w:space="0" w:color="auto"/>
      </w:divBdr>
    </w:div>
    <w:div w:id="225147433">
      <w:bodyDiv w:val="1"/>
      <w:marLeft w:val="0"/>
      <w:marRight w:val="0"/>
      <w:marTop w:val="0"/>
      <w:marBottom w:val="0"/>
      <w:divBdr>
        <w:top w:val="none" w:sz="0" w:space="0" w:color="auto"/>
        <w:left w:val="none" w:sz="0" w:space="0" w:color="auto"/>
        <w:bottom w:val="none" w:sz="0" w:space="0" w:color="auto"/>
        <w:right w:val="none" w:sz="0" w:space="0" w:color="auto"/>
      </w:divBdr>
    </w:div>
    <w:div w:id="244073083">
      <w:bodyDiv w:val="1"/>
      <w:marLeft w:val="0"/>
      <w:marRight w:val="0"/>
      <w:marTop w:val="0"/>
      <w:marBottom w:val="0"/>
      <w:divBdr>
        <w:top w:val="none" w:sz="0" w:space="0" w:color="auto"/>
        <w:left w:val="none" w:sz="0" w:space="0" w:color="auto"/>
        <w:bottom w:val="none" w:sz="0" w:space="0" w:color="auto"/>
        <w:right w:val="none" w:sz="0" w:space="0" w:color="auto"/>
      </w:divBdr>
    </w:div>
    <w:div w:id="329867057">
      <w:bodyDiv w:val="1"/>
      <w:marLeft w:val="0"/>
      <w:marRight w:val="0"/>
      <w:marTop w:val="0"/>
      <w:marBottom w:val="0"/>
      <w:divBdr>
        <w:top w:val="none" w:sz="0" w:space="0" w:color="auto"/>
        <w:left w:val="none" w:sz="0" w:space="0" w:color="auto"/>
        <w:bottom w:val="none" w:sz="0" w:space="0" w:color="auto"/>
        <w:right w:val="none" w:sz="0" w:space="0" w:color="auto"/>
      </w:divBdr>
    </w:div>
    <w:div w:id="351611726">
      <w:bodyDiv w:val="1"/>
      <w:marLeft w:val="0"/>
      <w:marRight w:val="0"/>
      <w:marTop w:val="0"/>
      <w:marBottom w:val="0"/>
      <w:divBdr>
        <w:top w:val="none" w:sz="0" w:space="0" w:color="auto"/>
        <w:left w:val="none" w:sz="0" w:space="0" w:color="auto"/>
        <w:bottom w:val="none" w:sz="0" w:space="0" w:color="auto"/>
        <w:right w:val="none" w:sz="0" w:space="0" w:color="auto"/>
      </w:divBdr>
    </w:div>
    <w:div w:id="436601136">
      <w:bodyDiv w:val="1"/>
      <w:marLeft w:val="0"/>
      <w:marRight w:val="0"/>
      <w:marTop w:val="0"/>
      <w:marBottom w:val="0"/>
      <w:divBdr>
        <w:top w:val="none" w:sz="0" w:space="0" w:color="auto"/>
        <w:left w:val="none" w:sz="0" w:space="0" w:color="auto"/>
        <w:bottom w:val="none" w:sz="0" w:space="0" w:color="auto"/>
        <w:right w:val="none" w:sz="0" w:space="0" w:color="auto"/>
      </w:divBdr>
    </w:div>
    <w:div w:id="438066011">
      <w:bodyDiv w:val="1"/>
      <w:marLeft w:val="0"/>
      <w:marRight w:val="0"/>
      <w:marTop w:val="0"/>
      <w:marBottom w:val="0"/>
      <w:divBdr>
        <w:top w:val="none" w:sz="0" w:space="0" w:color="auto"/>
        <w:left w:val="none" w:sz="0" w:space="0" w:color="auto"/>
        <w:bottom w:val="none" w:sz="0" w:space="0" w:color="auto"/>
        <w:right w:val="none" w:sz="0" w:space="0" w:color="auto"/>
      </w:divBdr>
    </w:div>
    <w:div w:id="580414447">
      <w:bodyDiv w:val="1"/>
      <w:marLeft w:val="0"/>
      <w:marRight w:val="0"/>
      <w:marTop w:val="0"/>
      <w:marBottom w:val="0"/>
      <w:divBdr>
        <w:top w:val="none" w:sz="0" w:space="0" w:color="auto"/>
        <w:left w:val="none" w:sz="0" w:space="0" w:color="auto"/>
        <w:bottom w:val="none" w:sz="0" w:space="0" w:color="auto"/>
        <w:right w:val="none" w:sz="0" w:space="0" w:color="auto"/>
      </w:divBdr>
    </w:div>
    <w:div w:id="589196991">
      <w:bodyDiv w:val="1"/>
      <w:marLeft w:val="0"/>
      <w:marRight w:val="0"/>
      <w:marTop w:val="0"/>
      <w:marBottom w:val="0"/>
      <w:divBdr>
        <w:top w:val="none" w:sz="0" w:space="0" w:color="auto"/>
        <w:left w:val="none" w:sz="0" w:space="0" w:color="auto"/>
        <w:bottom w:val="none" w:sz="0" w:space="0" w:color="auto"/>
        <w:right w:val="none" w:sz="0" w:space="0" w:color="auto"/>
      </w:divBdr>
    </w:div>
    <w:div w:id="604266571">
      <w:bodyDiv w:val="1"/>
      <w:marLeft w:val="0"/>
      <w:marRight w:val="0"/>
      <w:marTop w:val="0"/>
      <w:marBottom w:val="0"/>
      <w:divBdr>
        <w:top w:val="none" w:sz="0" w:space="0" w:color="auto"/>
        <w:left w:val="none" w:sz="0" w:space="0" w:color="auto"/>
        <w:bottom w:val="none" w:sz="0" w:space="0" w:color="auto"/>
        <w:right w:val="none" w:sz="0" w:space="0" w:color="auto"/>
      </w:divBdr>
    </w:div>
    <w:div w:id="665059575">
      <w:bodyDiv w:val="1"/>
      <w:marLeft w:val="0"/>
      <w:marRight w:val="0"/>
      <w:marTop w:val="0"/>
      <w:marBottom w:val="0"/>
      <w:divBdr>
        <w:top w:val="none" w:sz="0" w:space="0" w:color="auto"/>
        <w:left w:val="none" w:sz="0" w:space="0" w:color="auto"/>
        <w:bottom w:val="none" w:sz="0" w:space="0" w:color="auto"/>
        <w:right w:val="none" w:sz="0" w:space="0" w:color="auto"/>
      </w:divBdr>
    </w:div>
    <w:div w:id="714354704">
      <w:bodyDiv w:val="1"/>
      <w:marLeft w:val="0"/>
      <w:marRight w:val="0"/>
      <w:marTop w:val="0"/>
      <w:marBottom w:val="0"/>
      <w:divBdr>
        <w:top w:val="none" w:sz="0" w:space="0" w:color="auto"/>
        <w:left w:val="none" w:sz="0" w:space="0" w:color="auto"/>
        <w:bottom w:val="none" w:sz="0" w:space="0" w:color="auto"/>
        <w:right w:val="none" w:sz="0" w:space="0" w:color="auto"/>
      </w:divBdr>
    </w:div>
    <w:div w:id="797795826">
      <w:bodyDiv w:val="1"/>
      <w:marLeft w:val="0"/>
      <w:marRight w:val="0"/>
      <w:marTop w:val="0"/>
      <w:marBottom w:val="0"/>
      <w:divBdr>
        <w:top w:val="none" w:sz="0" w:space="0" w:color="auto"/>
        <w:left w:val="none" w:sz="0" w:space="0" w:color="auto"/>
        <w:bottom w:val="none" w:sz="0" w:space="0" w:color="auto"/>
        <w:right w:val="none" w:sz="0" w:space="0" w:color="auto"/>
      </w:divBdr>
    </w:div>
    <w:div w:id="889076753">
      <w:bodyDiv w:val="1"/>
      <w:marLeft w:val="0"/>
      <w:marRight w:val="0"/>
      <w:marTop w:val="0"/>
      <w:marBottom w:val="0"/>
      <w:divBdr>
        <w:top w:val="none" w:sz="0" w:space="0" w:color="auto"/>
        <w:left w:val="none" w:sz="0" w:space="0" w:color="auto"/>
        <w:bottom w:val="none" w:sz="0" w:space="0" w:color="auto"/>
        <w:right w:val="none" w:sz="0" w:space="0" w:color="auto"/>
      </w:divBdr>
    </w:div>
    <w:div w:id="895747486">
      <w:bodyDiv w:val="1"/>
      <w:marLeft w:val="0"/>
      <w:marRight w:val="0"/>
      <w:marTop w:val="0"/>
      <w:marBottom w:val="0"/>
      <w:divBdr>
        <w:top w:val="none" w:sz="0" w:space="0" w:color="auto"/>
        <w:left w:val="none" w:sz="0" w:space="0" w:color="auto"/>
        <w:bottom w:val="none" w:sz="0" w:space="0" w:color="auto"/>
        <w:right w:val="none" w:sz="0" w:space="0" w:color="auto"/>
      </w:divBdr>
    </w:div>
    <w:div w:id="923298121">
      <w:bodyDiv w:val="1"/>
      <w:marLeft w:val="0"/>
      <w:marRight w:val="0"/>
      <w:marTop w:val="0"/>
      <w:marBottom w:val="0"/>
      <w:divBdr>
        <w:top w:val="none" w:sz="0" w:space="0" w:color="auto"/>
        <w:left w:val="none" w:sz="0" w:space="0" w:color="auto"/>
        <w:bottom w:val="none" w:sz="0" w:space="0" w:color="auto"/>
        <w:right w:val="none" w:sz="0" w:space="0" w:color="auto"/>
      </w:divBdr>
    </w:div>
    <w:div w:id="1030034235">
      <w:bodyDiv w:val="1"/>
      <w:marLeft w:val="0"/>
      <w:marRight w:val="0"/>
      <w:marTop w:val="0"/>
      <w:marBottom w:val="0"/>
      <w:divBdr>
        <w:top w:val="none" w:sz="0" w:space="0" w:color="auto"/>
        <w:left w:val="none" w:sz="0" w:space="0" w:color="auto"/>
        <w:bottom w:val="none" w:sz="0" w:space="0" w:color="auto"/>
        <w:right w:val="none" w:sz="0" w:space="0" w:color="auto"/>
      </w:divBdr>
    </w:div>
    <w:div w:id="1056392870">
      <w:bodyDiv w:val="1"/>
      <w:marLeft w:val="0"/>
      <w:marRight w:val="0"/>
      <w:marTop w:val="0"/>
      <w:marBottom w:val="0"/>
      <w:divBdr>
        <w:top w:val="none" w:sz="0" w:space="0" w:color="auto"/>
        <w:left w:val="none" w:sz="0" w:space="0" w:color="auto"/>
        <w:bottom w:val="none" w:sz="0" w:space="0" w:color="auto"/>
        <w:right w:val="none" w:sz="0" w:space="0" w:color="auto"/>
      </w:divBdr>
    </w:div>
    <w:div w:id="1058823929">
      <w:bodyDiv w:val="1"/>
      <w:marLeft w:val="0"/>
      <w:marRight w:val="0"/>
      <w:marTop w:val="0"/>
      <w:marBottom w:val="0"/>
      <w:divBdr>
        <w:top w:val="none" w:sz="0" w:space="0" w:color="auto"/>
        <w:left w:val="none" w:sz="0" w:space="0" w:color="auto"/>
        <w:bottom w:val="none" w:sz="0" w:space="0" w:color="auto"/>
        <w:right w:val="none" w:sz="0" w:space="0" w:color="auto"/>
      </w:divBdr>
    </w:div>
    <w:div w:id="1085417541">
      <w:bodyDiv w:val="1"/>
      <w:marLeft w:val="0"/>
      <w:marRight w:val="0"/>
      <w:marTop w:val="0"/>
      <w:marBottom w:val="0"/>
      <w:divBdr>
        <w:top w:val="none" w:sz="0" w:space="0" w:color="auto"/>
        <w:left w:val="none" w:sz="0" w:space="0" w:color="auto"/>
        <w:bottom w:val="none" w:sz="0" w:space="0" w:color="auto"/>
        <w:right w:val="none" w:sz="0" w:space="0" w:color="auto"/>
      </w:divBdr>
    </w:div>
    <w:div w:id="1112936552">
      <w:bodyDiv w:val="1"/>
      <w:marLeft w:val="0"/>
      <w:marRight w:val="0"/>
      <w:marTop w:val="0"/>
      <w:marBottom w:val="0"/>
      <w:divBdr>
        <w:top w:val="none" w:sz="0" w:space="0" w:color="auto"/>
        <w:left w:val="none" w:sz="0" w:space="0" w:color="auto"/>
        <w:bottom w:val="none" w:sz="0" w:space="0" w:color="auto"/>
        <w:right w:val="none" w:sz="0" w:space="0" w:color="auto"/>
      </w:divBdr>
    </w:div>
    <w:div w:id="1123309769">
      <w:bodyDiv w:val="1"/>
      <w:marLeft w:val="0"/>
      <w:marRight w:val="0"/>
      <w:marTop w:val="0"/>
      <w:marBottom w:val="0"/>
      <w:divBdr>
        <w:top w:val="none" w:sz="0" w:space="0" w:color="auto"/>
        <w:left w:val="none" w:sz="0" w:space="0" w:color="auto"/>
        <w:bottom w:val="none" w:sz="0" w:space="0" w:color="auto"/>
        <w:right w:val="none" w:sz="0" w:space="0" w:color="auto"/>
      </w:divBdr>
    </w:div>
    <w:div w:id="1131093081">
      <w:bodyDiv w:val="1"/>
      <w:marLeft w:val="0"/>
      <w:marRight w:val="0"/>
      <w:marTop w:val="0"/>
      <w:marBottom w:val="0"/>
      <w:divBdr>
        <w:top w:val="none" w:sz="0" w:space="0" w:color="auto"/>
        <w:left w:val="none" w:sz="0" w:space="0" w:color="auto"/>
        <w:bottom w:val="none" w:sz="0" w:space="0" w:color="auto"/>
        <w:right w:val="none" w:sz="0" w:space="0" w:color="auto"/>
      </w:divBdr>
    </w:div>
    <w:div w:id="1145315494">
      <w:bodyDiv w:val="1"/>
      <w:marLeft w:val="0"/>
      <w:marRight w:val="0"/>
      <w:marTop w:val="0"/>
      <w:marBottom w:val="0"/>
      <w:divBdr>
        <w:top w:val="none" w:sz="0" w:space="0" w:color="auto"/>
        <w:left w:val="none" w:sz="0" w:space="0" w:color="auto"/>
        <w:bottom w:val="none" w:sz="0" w:space="0" w:color="auto"/>
        <w:right w:val="none" w:sz="0" w:space="0" w:color="auto"/>
      </w:divBdr>
    </w:div>
    <w:div w:id="1272857446">
      <w:bodyDiv w:val="1"/>
      <w:marLeft w:val="0"/>
      <w:marRight w:val="0"/>
      <w:marTop w:val="0"/>
      <w:marBottom w:val="0"/>
      <w:divBdr>
        <w:top w:val="none" w:sz="0" w:space="0" w:color="auto"/>
        <w:left w:val="none" w:sz="0" w:space="0" w:color="auto"/>
        <w:bottom w:val="none" w:sz="0" w:space="0" w:color="auto"/>
        <w:right w:val="none" w:sz="0" w:space="0" w:color="auto"/>
      </w:divBdr>
    </w:div>
    <w:div w:id="1347563779">
      <w:bodyDiv w:val="1"/>
      <w:marLeft w:val="0"/>
      <w:marRight w:val="0"/>
      <w:marTop w:val="0"/>
      <w:marBottom w:val="0"/>
      <w:divBdr>
        <w:top w:val="none" w:sz="0" w:space="0" w:color="auto"/>
        <w:left w:val="none" w:sz="0" w:space="0" w:color="auto"/>
        <w:bottom w:val="none" w:sz="0" w:space="0" w:color="auto"/>
        <w:right w:val="none" w:sz="0" w:space="0" w:color="auto"/>
      </w:divBdr>
    </w:div>
    <w:div w:id="1374496255">
      <w:bodyDiv w:val="1"/>
      <w:marLeft w:val="0"/>
      <w:marRight w:val="0"/>
      <w:marTop w:val="0"/>
      <w:marBottom w:val="0"/>
      <w:divBdr>
        <w:top w:val="none" w:sz="0" w:space="0" w:color="auto"/>
        <w:left w:val="none" w:sz="0" w:space="0" w:color="auto"/>
        <w:bottom w:val="none" w:sz="0" w:space="0" w:color="auto"/>
        <w:right w:val="none" w:sz="0" w:space="0" w:color="auto"/>
      </w:divBdr>
    </w:div>
    <w:div w:id="1427068462">
      <w:bodyDiv w:val="1"/>
      <w:marLeft w:val="0"/>
      <w:marRight w:val="0"/>
      <w:marTop w:val="0"/>
      <w:marBottom w:val="0"/>
      <w:divBdr>
        <w:top w:val="none" w:sz="0" w:space="0" w:color="auto"/>
        <w:left w:val="none" w:sz="0" w:space="0" w:color="auto"/>
        <w:bottom w:val="none" w:sz="0" w:space="0" w:color="auto"/>
        <w:right w:val="none" w:sz="0" w:space="0" w:color="auto"/>
      </w:divBdr>
    </w:div>
    <w:div w:id="1492210053">
      <w:bodyDiv w:val="1"/>
      <w:marLeft w:val="0"/>
      <w:marRight w:val="0"/>
      <w:marTop w:val="0"/>
      <w:marBottom w:val="0"/>
      <w:divBdr>
        <w:top w:val="none" w:sz="0" w:space="0" w:color="auto"/>
        <w:left w:val="none" w:sz="0" w:space="0" w:color="auto"/>
        <w:bottom w:val="none" w:sz="0" w:space="0" w:color="auto"/>
        <w:right w:val="none" w:sz="0" w:space="0" w:color="auto"/>
      </w:divBdr>
    </w:div>
    <w:div w:id="1494829952">
      <w:bodyDiv w:val="1"/>
      <w:marLeft w:val="0"/>
      <w:marRight w:val="0"/>
      <w:marTop w:val="0"/>
      <w:marBottom w:val="0"/>
      <w:divBdr>
        <w:top w:val="none" w:sz="0" w:space="0" w:color="auto"/>
        <w:left w:val="none" w:sz="0" w:space="0" w:color="auto"/>
        <w:bottom w:val="none" w:sz="0" w:space="0" w:color="auto"/>
        <w:right w:val="none" w:sz="0" w:space="0" w:color="auto"/>
      </w:divBdr>
    </w:div>
    <w:div w:id="1515536438">
      <w:bodyDiv w:val="1"/>
      <w:marLeft w:val="0"/>
      <w:marRight w:val="0"/>
      <w:marTop w:val="0"/>
      <w:marBottom w:val="0"/>
      <w:divBdr>
        <w:top w:val="none" w:sz="0" w:space="0" w:color="auto"/>
        <w:left w:val="none" w:sz="0" w:space="0" w:color="auto"/>
        <w:bottom w:val="none" w:sz="0" w:space="0" w:color="auto"/>
        <w:right w:val="none" w:sz="0" w:space="0" w:color="auto"/>
      </w:divBdr>
    </w:div>
    <w:div w:id="1537889822">
      <w:bodyDiv w:val="1"/>
      <w:marLeft w:val="0"/>
      <w:marRight w:val="0"/>
      <w:marTop w:val="0"/>
      <w:marBottom w:val="0"/>
      <w:divBdr>
        <w:top w:val="none" w:sz="0" w:space="0" w:color="auto"/>
        <w:left w:val="none" w:sz="0" w:space="0" w:color="auto"/>
        <w:bottom w:val="none" w:sz="0" w:space="0" w:color="auto"/>
        <w:right w:val="none" w:sz="0" w:space="0" w:color="auto"/>
      </w:divBdr>
    </w:div>
    <w:div w:id="1591618608">
      <w:bodyDiv w:val="1"/>
      <w:marLeft w:val="0"/>
      <w:marRight w:val="0"/>
      <w:marTop w:val="0"/>
      <w:marBottom w:val="0"/>
      <w:divBdr>
        <w:top w:val="none" w:sz="0" w:space="0" w:color="auto"/>
        <w:left w:val="none" w:sz="0" w:space="0" w:color="auto"/>
        <w:bottom w:val="none" w:sz="0" w:space="0" w:color="auto"/>
        <w:right w:val="none" w:sz="0" w:space="0" w:color="auto"/>
      </w:divBdr>
    </w:div>
    <w:div w:id="1787312293">
      <w:bodyDiv w:val="1"/>
      <w:marLeft w:val="0"/>
      <w:marRight w:val="0"/>
      <w:marTop w:val="0"/>
      <w:marBottom w:val="0"/>
      <w:divBdr>
        <w:top w:val="none" w:sz="0" w:space="0" w:color="auto"/>
        <w:left w:val="none" w:sz="0" w:space="0" w:color="auto"/>
        <w:bottom w:val="none" w:sz="0" w:space="0" w:color="auto"/>
        <w:right w:val="none" w:sz="0" w:space="0" w:color="auto"/>
      </w:divBdr>
    </w:div>
    <w:div w:id="1832939043">
      <w:bodyDiv w:val="1"/>
      <w:marLeft w:val="0"/>
      <w:marRight w:val="0"/>
      <w:marTop w:val="0"/>
      <w:marBottom w:val="0"/>
      <w:divBdr>
        <w:top w:val="none" w:sz="0" w:space="0" w:color="auto"/>
        <w:left w:val="none" w:sz="0" w:space="0" w:color="auto"/>
        <w:bottom w:val="none" w:sz="0" w:space="0" w:color="auto"/>
        <w:right w:val="none" w:sz="0" w:space="0" w:color="auto"/>
      </w:divBdr>
    </w:div>
    <w:div w:id="1845821609">
      <w:bodyDiv w:val="1"/>
      <w:marLeft w:val="0"/>
      <w:marRight w:val="0"/>
      <w:marTop w:val="0"/>
      <w:marBottom w:val="0"/>
      <w:divBdr>
        <w:top w:val="none" w:sz="0" w:space="0" w:color="auto"/>
        <w:left w:val="none" w:sz="0" w:space="0" w:color="auto"/>
        <w:bottom w:val="none" w:sz="0" w:space="0" w:color="auto"/>
        <w:right w:val="none" w:sz="0" w:space="0" w:color="auto"/>
      </w:divBdr>
    </w:div>
    <w:div w:id="1961063426">
      <w:bodyDiv w:val="1"/>
      <w:marLeft w:val="0"/>
      <w:marRight w:val="0"/>
      <w:marTop w:val="0"/>
      <w:marBottom w:val="0"/>
      <w:divBdr>
        <w:top w:val="none" w:sz="0" w:space="0" w:color="auto"/>
        <w:left w:val="none" w:sz="0" w:space="0" w:color="auto"/>
        <w:bottom w:val="none" w:sz="0" w:space="0" w:color="auto"/>
        <w:right w:val="none" w:sz="0" w:space="0" w:color="auto"/>
      </w:divBdr>
    </w:div>
    <w:div w:id="2079086289">
      <w:bodyDiv w:val="1"/>
      <w:marLeft w:val="0"/>
      <w:marRight w:val="0"/>
      <w:marTop w:val="0"/>
      <w:marBottom w:val="0"/>
      <w:divBdr>
        <w:top w:val="none" w:sz="0" w:space="0" w:color="auto"/>
        <w:left w:val="none" w:sz="0" w:space="0" w:color="auto"/>
        <w:bottom w:val="none" w:sz="0" w:space="0" w:color="auto"/>
        <w:right w:val="none" w:sz="0" w:space="0" w:color="auto"/>
      </w:divBdr>
    </w:div>
    <w:div w:id="2103867223">
      <w:bodyDiv w:val="1"/>
      <w:marLeft w:val="0"/>
      <w:marRight w:val="0"/>
      <w:marTop w:val="0"/>
      <w:marBottom w:val="0"/>
      <w:divBdr>
        <w:top w:val="none" w:sz="0" w:space="0" w:color="auto"/>
        <w:left w:val="none" w:sz="0" w:space="0" w:color="auto"/>
        <w:bottom w:val="none" w:sz="0" w:space="0" w:color="auto"/>
        <w:right w:val="none" w:sz="0" w:space="0" w:color="auto"/>
      </w:divBdr>
    </w:div>
    <w:div w:id="2130542344">
      <w:bodyDiv w:val="1"/>
      <w:marLeft w:val="0"/>
      <w:marRight w:val="0"/>
      <w:marTop w:val="0"/>
      <w:marBottom w:val="0"/>
      <w:divBdr>
        <w:top w:val="none" w:sz="0" w:space="0" w:color="auto"/>
        <w:left w:val="none" w:sz="0" w:space="0" w:color="auto"/>
        <w:bottom w:val="none" w:sz="0" w:space="0" w:color="auto"/>
        <w:right w:val="none" w:sz="0" w:space="0" w:color="auto"/>
      </w:divBdr>
    </w:div>
    <w:div w:id="2136823732">
      <w:bodyDiv w:val="1"/>
      <w:marLeft w:val="0"/>
      <w:marRight w:val="0"/>
      <w:marTop w:val="0"/>
      <w:marBottom w:val="0"/>
      <w:divBdr>
        <w:top w:val="none" w:sz="0" w:space="0" w:color="auto"/>
        <w:left w:val="none" w:sz="0" w:space="0" w:color="auto"/>
        <w:bottom w:val="none" w:sz="0" w:space="0" w:color="auto"/>
        <w:right w:val="none" w:sz="0" w:space="0" w:color="auto"/>
      </w:divBdr>
    </w:div>
    <w:div w:id="2139294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DE53-D1F8-40E6-9FD9-031317AF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121</TotalTime>
  <Pages>13</Pages>
  <Words>3102</Words>
  <Characters>17686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tboswell001</dc:creator>
  <cp:lastModifiedBy>Maya Evenson</cp:lastModifiedBy>
  <cp:revision>20</cp:revision>
  <cp:lastPrinted>2017-12-19T12:10:00Z</cp:lastPrinted>
  <dcterms:created xsi:type="dcterms:W3CDTF">2018-01-09T08:02:00Z</dcterms:created>
  <dcterms:modified xsi:type="dcterms:W3CDTF">2018-01-10T12:28:00Z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138681430</vt:i4>
  </property>
</Properties>
</file>